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173"/>
        <w:gridCol w:w="7567"/>
      </w:tblGrid>
      <w:tr w:rsidR="00B24C1B" w14:paraId="28FECAB3" w14:textId="77777777" w:rsidTr="009B271A">
        <w:tc>
          <w:tcPr>
            <w:tcW w:w="9740" w:type="dxa"/>
            <w:gridSpan w:val="2"/>
          </w:tcPr>
          <w:p w14:paraId="0CA4CAA5" w14:textId="7DE5282F" w:rsidR="00B24C1B" w:rsidRDefault="00B24C1B" w:rsidP="00311A34">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sidR="00311A34">
              <w:rPr>
                <w:b/>
                <w:bCs/>
                <w:sz w:val="28"/>
                <w:szCs w:val="28"/>
              </w:rPr>
              <w:t xml:space="preserve"> (Do No Significant Harm)</w:t>
            </w:r>
          </w:p>
        </w:tc>
      </w:tr>
      <w:tr w:rsidR="00294052" w14:paraId="7673BCDB" w14:textId="77777777" w:rsidTr="00B24C1B">
        <w:tc>
          <w:tcPr>
            <w:tcW w:w="2872" w:type="dxa"/>
          </w:tcPr>
          <w:p w14:paraId="00924963" w14:textId="584F8993" w:rsidR="00294052" w:rsidRDefault="00294052" w:rsidP="00294052">
            <w:pPr>
              <w:jc w:val="both"/>
              <w:rPr>
                <w:b/>
                <w:bCs/>
                <w:sz w:val="24"/>
                <w:szCs w:val="24"/>
              </w:rPr>
            </w:pPr>
            <w:r>
              <w:rPr>
                <w:b/>
                <w:bCs/>
                <w:sz w:val="24"/>
                <w:szCs w:val="24"/>
              </w:rPr>
              <w:t>Convocatoria</w:t>
            </w:r>
          </w:p>
        </w:tc>
        <w:tc>
          <w:tcPr>
            <w:tcW w:w="6868" w:type="dxa"/>
          </w:tcPr>
          <w:p w14:paraId="07161D6E" w14:textId="5536ABF4" w:rsidR="00294052" w:rsidRDefault="00294052" w:rsidP="00294052">
            <w:pPr>
              <w:jc w:val="both"/>
              <w:rPr>
                <w:b/>
                <w:bCs/>
                <w:sz w:val="24"/>
                <w:szCs w:val="24"/>
              </w:rPr>
            </w:pPr>
            <w:r>
              <w:t xml:space="preserve">UNICO </w:t>
            </w:r>
            <w:r w:rsidR="00C246B0">
              <w:t>5G Redes Activas</w:t>
            </w:r>
            <w:r>
              <w:t xml:space="preserve"> - 202</w:t>
            </w:r>
            <w:r w:rsidR="00C246B0">
              <w:t>3</w:t>
            </w:r>
          </w:p>
        </w:tc>
      </w:tr>
      <w:tr w:rsidR="00294052" w14:paraId="34AA9FC6" w14:textId="77777777" w:rsidTr="00B24C1B">
        <w:tc>
          <w:tcPr>
            <w:tcW w:w="2872" w:type="dxa"/>
          </w:tcPr>
          <w:p w14:paraId="5121163B" w14:textId="4B5BB0C1" w:rsidR="00294052" w:rsidRDefault="00294052" w:rsidP="00294052">
            <w:pPr>
              <w:jc w:val="both"/>
              <w:rPr>
                <w:b/>
                <w:bCs/>
                <w:sz w:val="24"/>
                <w:szCs w:val="24"/>
              </w:rPr>
            </w:pPr>
            <w:r>
              <w:rPr>
                <w:b/>
                <w:bCs/>
                <w:sz w:val="24"/>
                <w:szCs w:val="24"/>
              </w:rPr>
              <w:t>Instrumento jurídico</w:t>
            </w:r>
          </w:p>
        </w:tc>
        <w:tc>
          <w:tcPr>
            <w:tcW w:w="6868" w:type="dxa"/>
          </w:tcPr>
          <w:p w14:paraId="2C8E1E57" w14:textId="7C515CFC" w:rsidR="00294052" w:rsidRDefault="00C246B0" w:rsidP="00C246B0">
            <w:pPr>
              <w:jc w:val="both"/>
            </w:pPr>
            <w:r w:rsidRPr="00C246B0">
              <w:t xml:space="preserve">Resolución de la Secretaría de Estado de Telecomunicaciones e Infraestructuras Digitales, por la que se convocan ayudas para la provisión del conjunto de equipamiento activo e infraestructura auxiliar necesaria para la provisión de servicios de comunicaciones móviles con tecnología 5G en zonas donde no existe cobertura móvil 4G con servicio mínimo de 50 Mbps (programa UNICO 5G redes activas), en el marco del Plan de Recuperación, Transformación y Resiliencia. </w:t>
            </w:r>
          </w:p>
          <w:p w14:paraId="7D5EB09E" w14:textId="79F5F66A" w:rsidR="00294052" w:rsidRPr="00C246B0" w:rsidRDefault="00C246B0" w:rsidP="00294052">
            <w:pPr>
              <w:jc w:val="both"/>
              <w:rPr>
                <w:sz w:val="24"/>
                <w:szCs w:val="24"/>
              </w:rPr>
            </w:pPr>
            <w:hyperlink r:id="rId10" w:history="1">
              <w:r w:rsidRPr="00C246B0">
                <w:rPr>
                  <w:rStyle w:val="Hipervnculo"/>
                  <w:sz w:val="24"/>
                  <w:szCs w:val="24"/>
                </w:rPr>
                <w:t>https://www.pap.hacienda.gob.es/bdnstrans/GE/es/convocatorias/720469</w:t>
              </w:r>
            </w:hyperlink>
          </w:p>
        </w:tc>
      </w:tr>
      <w:tr w:rsidR="00294052" w14:paraId="2635B57D" w14:textId="77777777" w:rsidTr="00B24C1B">
        <w:tc>
          <w:tcPr>
            <w:tcW w:w="2872" w:type="dxa"/>
          </w:tcPr>
          <w:p w14:paraId="10C04ADF" w14:textId="52C6DA2E" w:rsidR="00294052" w:rsidRDefault="00294052" w:rsidP="00294052">
            <w:pPr>
              <w:jc w:val="both"/>
              <w:rPr>
                <w:b/>
                <w:bCs/>
                <w:sz w:val="24"/>
                <w:szCs w:val="24"/>
              </w:rPr>
            </w:pPr>
            <w:r>
              <w:rPr>
                <w:b/>
                <w:bCs/>
                <w:sz w:val="24"/>
                <w:szCs w:val="24"/>
              </w:rPr>
              <w:t>Condiciones específicas en relación con el principio de DNSH</w:t>
            </w:r>
          </w:p>
        </w:tc>
        <w:tc>
          <w:tcPr>
            <w:tcW w:w="6868" w:type="dxa"/>
          </w:tcPr>
          <w:p w14:paraId="3C04FB9E" w14:textId="31DC5798" w:rsidR="00294052" w:rsidRDefault="00294052" w:rsidP="00294052">
            <w:pPr>
              <w:jc w:val="both"/>
              <w:rPr>
                <w:b/>
                <w:bCs/>
                <w:sz w:val="24"/>
                <w:szCs w:val="24"/>
              </w:rPr>
            </w:pPr>
            <w:r w:rsidRPr="003F63BC">
              <w:rPr>
                <w:sz w:val="24"/>
                <w:szCs w:val="24"/>
              </w:rPr>
              <w:t>Anexo V</w:t>
            </w:r>
            <w:r>
              <w:rPr>
                <w:sz w:val="24"/>
                <w:szCs w:val="24"/>
              </w:rPr>
              <w:t xml:space="preserve"> de</w:t>
            </w:r>
            <w:r w:rsidR="003D45BA">
              <w:rPr>
                <w:sz w:val="24"/>
                <w:szCs w:val="24"/>
              </w:rPr>
              <w:t>l instrumento jurídico</w:t>
            </w:r>
          </w:p>
        </w:tc>
      </w:tr>
      <w:tr w:rsidR="00294052" w14:paraId="7AE550D6" w14:textId="77777777" w:rsidTr="00B24C1B">
        <w:tc>
          <w:tcPr>
            <w:tcW w:w="2872" w:type="dxa"/>
          </w:tcPr>
          <w:p w14:paraId="7580551F" w14:textId="395ED25D" w:rsidR="00294052" w:rsidRDefault="00294052" w:rsidP="00294052">
            <w:pPr>
              <w:jc w:val="both"/>
              <w:rPr>
                <w:b/>
                <w:bCs/>
                <w:sz w:val="24"/>
                <w:szCs w:val="24"/>
              </w:rPr>
            </w:pPr>
            <w:r>
              <w:rPr>
                <w:b/>
                <w:bCs/>
                <w:sz w:val="24"/>
                <w:szCs w:val="24"/>
              </w:rPr>
              <w:t>Beneficiario</w:t>
            </w:r>
          </w:p>
        </w:tc>
        <w:tc>
          <w:tcPr>
            <w:tcW w:w="6868" w:type="dxa"/>
          </w:tcPr>
          <w:p w14:paraId="574E88DC" w14:textId="33EA10D1" w:rsidR="00294052" w:rsidRPr="00294052" w:rsidRDefault="00294052" w:rsidP="00294052">
            <w:pPr>
              <w:jc w:val="both"/>
              <w:rPr>
                <w:sz w:val="24"/>
                <w:szCs w:val="24"/>
              </w:rPr>
            </w:pPr>
            <w:r w:rsidRPr="00294052">
              <w:rPr>
                <w:sz w:val="24"/>
                <w:szCs w:val="24"/>
                <w:highlight w:val="yellow"/>
              </w:rPr>
              <w:t>XXX</w:t>
            </w:r>
          </w:p>
        </w:tc>
      </w:tr>
    </w:tbl>
    <w:p w14:paraId="14EA57BD" w14:textId="77777777" w:rsidR="00AB4B54" w:rsidRDefault="00AB4B54" w:rsidP="00294052">
      <w:pPr>
        <w:jc w:val="both"/>
      </w:pPr>
    </w:p>
    <w:tbl>
      <w:tblPr>
        <w:tblStyle w:val="Tablaconcuadrcula"/>
        <w:tblW w:w="0" w:type="auto"/>
        <w:tblLook w:val="04A0" w:firstRow="1" w:lastRow="0" w:firstColumn="1" w:lastColumn="0" w:noHBand="0" w:noVBand="1"/>
      </w:tblPr>
      <w:tblGrid>
        <w:gridCol w:w="9740"/>
      </w:tblGrid>
      <w:tr w:rsidR="00294052" w14:paraId="6D045565" w14:textId="77777777" w:rsidTr="00294052">
        <w:tc>
          <w:tcPr>
            <w:tcW w:w="9740" w:type="dxa"/>
          </w:tcPr>
          <w:p w14:paraId="7B1EF0AF" w14:textId="6B8B8B8A" w:rsidR="00294052" w:rsidRDefault="00294052" w:rsidP="00294052">
            <w:pPr>
              <w:spacing w:after="160" w:line="259" w:lineRule="auto"/>
              <w:jc w:val="both"/>
              <w:rPr>
                <w:sz w:val="28"/>
                <w:szCs w:val="28"/>
              </w:rPr>
            </w:pPr>
            <w:r w:rsidRPr="00294052">
              <w:rPr>
                <w:sz w:val="28"/>
                <w:szCs w:val="28"/>
              </w:rPr>
              <w:t xml:space="preserve">En esta memoria se describen las acciones llevadas a cabo por </w:t>
            </w:r>
            <w:r w:rsidRPr="00294052">
              <w:rPr>
                <w:sz w:val="28"/>
                <w:szCs w:val="28"/>
                <w:highlight w:val="yellow"/>
              </w:rPr>
              <w:t>[BENEFICARIO</w:t>
            </w:r>
            <w:r w:rsidRPr="00294052">
              <w:rPr>
                <w:sz w:val="28"/>
                <w:szCs w:val="28"/>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61BA53C5" w14:textId="2317F538" w:rsidR="005C5127" w:rsidRDefault="005C5127" w:rsidP="00294052">
      <w:pPr>
        <w:jc w:val="both"/>
        <w:rPr>
          <w:highlight w:val="yellow"/>
        </w:rPr>
      </w:pPr>
    </w:p>
    <w:p w14:paraId="69272DA6" w14:textId="383A9FFE" w:rsidR="006014B0" w:rsidRPr="006014B0" w:rsidRDefault="006014B0" w:rsidP="00294052">
      <w:pPr>
        <w:jc w:val="both"/>
        <w:rPr>
          <w:b/>
          <w:bCs/>
        </w:rPr>
      </w:pPr>
      <w:r>
        <w:rPr>
          <w:b/>
          <w:bCs/>
        </w:rPr>
        <w:t xml:space="preserve">Condición específica nº 1: </w:t>
      </w:r>
      <w:r w:rsidRPr="006014B0">
        <w:rPr>
          <w:b/>
          <w:bCs/>
        </w:rPr>
        <w:t xml:space="preserve"> </w:t>
      </w:r>
    </w:p>
    <w:p w14:paraId="1C7A1977" w14:textId="0E0AD4C0" w:rsidR="006014B0" w:rsidRDefault="005C5127" w:rsidP="00294052">
      <w:pPr>
        <w:jc w:val="both"/>
      </w:pPr>
      <w:r>
        <w:t xml:space="preserve">- Los fabricantes de los equipos y componentes utilizados, el operador de la red y/o el proveedor de los servicios de red se han adherido al Código de conducta europeo sobre consumo energético de equipos </w:t>
      </w:r>
      <w:r w:rsidR="006B0630">
        <w:t>5G</w:t>
      </w:r>
      <w:r w:rsidR="006014B0">
        <w:t>.</w:t>
      </w:r>
    </w:p>
    <w:p w14:paraId="07ED46A7" w14:textId="6D5158DE" w:rsidR="005C5127" w:rsidRDefault="006014B0" w:rsidP="00294052">
      <w:pPr>
        <w:jc w:val="both"/>
      </w:pPr>
      <w:r>
        <w:t>-  O</w:t>
      </w:r>
      <w:r w:rsidR="005C5127">
        <w:t xml:space="preserve"> el beneficiario demuestra que realiza los mayores esfuerzos para implementar prácticas relevantes sobre eficiencia energética en los equipos e instalaciones.</w:t>
      </w:r>
    </w:p>
    <w:p w14:paraId="7E19F91C"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64CB283E" w14:textId="569775EB" w:rsidR="006014B0" w:rsidRDefault="006014B0" w:rsidP="00294052">
      <w:pPr>
        <w:jc w:val="both"/>
      </w:pPr>
    </w:p>
    <w:p w14:paraId="37AD6FAB" w14:textId="71036582" w:rsidR="006014B0" w:rsidRPr="006014B0" w:rsidRDefault="006014B0" w:rsidP="00294052">
      <w:pPr>
        <w:jc w:val="both"/>
        <w:rPr>
          <w:b/>
          <w:bCs/>
        </w:rPr>
      </w:pPr>
      <w:r w:rsidRPr="006014B0">
        <w:rPr>
          <w:b/>
          <w:bCs/>
        </w:rPr>
        <w:t>Condición específica</w:t>
      </w:r>
      <w:r>
        <w:rPr>
          <w:b/>
          <w:bCs/>
        </w:rPr>
        <w:t xml:space="preserve"> nº 2:</w:t>
      </w:r>
      <w:r w:rsidRPr="006014B0">
        <w:rPr>
          <w:b/>
          <w:bCs/>
        </w:rPr>
        <w:t xml:space="preserve"> </w:t>
      </w:r>
    </w:p>
    <w:p w14:paraId="1ED6490E" w14:textId="59834AF4" w:rsidR="005C5127" w:rsidRDefault="005C5127" w:rsidP="006B0630">
      <w:pPr>
        <w:jc w:val="both"/>
      </w:pPr>
      <w:r>
        <w:t xml:space="preserve">- En el momento del diseño y la construcción </w:t>
      </w:r>
      <w:r w:rsidR="006B0630">
        <w:t xml:space="preserve">de infraestructura </w:t>
      </w:r>
      <w:r w:rsidR="00291847">
        <w:t xml:space="preserve">auxiliar </w:t>
      </w:r>
      <w:r w:rsidR="006B0630">
        <w:t xml:space="preserve">necesaria </w:t>
      </w:r>
      <w:r w:rsidR="006B0630" w:rsidRPr="006B0630">
        <w:t>para la provisión de servicios de comunicaciones</w:t>
      </w:r>
      <w:r w:rsidR="006B0630">
        <w:t xml:space="preserve"> </w:t>
      </w:r>
      <w:r w:rsidR="006B0630" w:rsidRPr="006B0630">
        <w:t>móviles con tecnología 5G</w:t>
      </w:r>
      <w:r>
        <w:t>, el beneficiario incorporará las soluciones de adaptación que reduzcan el riesgo climático de ola de calor y las aplicará antes del inicio de las operaciones.</w:t>
      </w:r>
    </w:p>
    <w:p w14:paraId="357E037F"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1EF9F51E" w14:textId="2F721FE5" w:rsidR="006014B0" w:rsidRDefault="006014B0" w:rsidP="00294052">
      <w:pPr>
        <w:jc w:val="both"/>
      </w:pPr>
    </w:p>
    <w:p w14:paraId="692495B8" w14:textId="77777777" w:rsidR="00AB4B54" w:rsidRDefault="00AB4B54">
      <w:pPr>
        <w:rPr>
          <w:b/>
          <w:bCs/>
        </w:rPr>
      </w:pPr>
      <w:r>
        <w:rPr>
          <w:b/>
          <w:bCs/>
        </w:rPr>
        <w:br w:type="page"/>
      </w:r>
    </w:p>
    <w:p w14:paraId="1E85D547" w14:textId="7D34AED8" w:rsidR="006014B0" w:rsidRPr="006014B0" w:rsidRDefault="006014B0" w:rsidP="00294052">
      <w:pPr>
        <w:jc w:val="both"/>
        <w:rPr>
          <w:b/>
          <w:bCs/>
        </w:rPr>
      </w:pPr>
      <w:r w:rsidRPr="006014B0">
        <w:rPr>
          <w:b/>
          <w:bCs/>
        </w:rPr>
        <w:lastRenderedPageBreak/>
        <w:t>Condición específica</w:t>
      </w:r>
      <w:r>
        <w:rPr>
          <w:b/>
          <w:bCs/>
        </w:rPr>
        <w:t xml:space="preserve"> nº 3</w:t>
      </w:r>
      <w:r w:rsidRPr="006014B0">
        <w:rPr>
          <w:b/>
          <w:bCs/>
        </w:rPr>
        <w:t xml:space="preserve">: </w:t>
      </w:r>
    </w:p>
    <w:p w14:paraId="73849B00" w14:textId="42EE5368" w:rsidR="005C5127" w:rsidRDefault="005C5127" w:rsidP="00294052">
      <w:pPr>
        <w:jc w:val="both"/>
      </w:pPr>
      <w:r>
        <w:t>- En el proyecto no se incluirán actuaciones de infraestructuras que puedan alterar la hidrología</w:t>
      </w:r>
    </w:p>
    <w:p w14:paraId="30632450"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C02A694" w14:textId="77777777" w:rsidR="006014B0" w:rsidRDefault="006014B0" w:rsidP="00294052">
      <w:pPr>
        <w:jc w:val="both"/>
      </w:pPr>
    </w:p>
    <w:p w14:paraId="57E6E0BD" w14:textId="30F1B1C1" w:rsidR="006014B0" w:rsidRPr="006014B0" w:rsidRDefault="006014B0" w:rsidP="00294052">
      <w:pPr>
        <w:jc w:val="both"/>
        <w:rPr>
          <w:b/>
          <w:bCs/>
        </w:rPr>
      </w:pPr>
      <w:r>
        <w:rPr>
          <w:b/>
          <w:bCs/>
        </w:rPr>
        <w:t xml:space="preserve">Condición específica nº 4: </w:t>
      </w:r>
      <w:r w:rsidRPr="006014B0">
        <w:rPr>
          <w:b/>
          <w:bCs/>
        </w:rPr>
        <w:t xml:space="preserve"> </w:t>
      </w:r>
    </w:p>
    <w:p w14:paraId="7B43D2D8" w14:textId="1ADBB813" w:rsidR="005C5127" w:rsidRDefault="005C5127" w:rsidP="00294052">
      <w:pPr>
        <w:jc w:val="both"/>
      </w:pPr>
      <w:r>
        <w:t xml:space="preserve">- Los equipos no contendrán las sustancias restringidas enumeradas en el anexo II de la Directiva 2011/65 / UE, excepto cuando los valores de concentración en peso en materiales homogéneos no superen los numerados en dicho anexo. </w:t>
      </w:r>
    </w:p>
    <w:p w14:paraId="067A7079" w14:textId="69E7380C" w:rsidR="005C5127" w:rsidRDefault="005C5127" w:rsidP="00294052">
      <w:pPr>
        <w:jc w:val="both"/>
      </w:pPr>
      <w:r>
        <w:t xml:space="preserve">- Al final de su vida útil, el equipo se someterá a una preparación para operaciones de reutilización, recuperación o reciclaje, o un tratamiento adecuado, incluida la eliminación de todos los fluidos y un tratamiento selectivo de acuerdo con el Anexo VII de la Directiva 2012/19 / UE. </w:t>
      </w:r>
    </w:p>
    <w:p w14:paraId="3F71D6A9" w14:textId="6C496948" w:rsidR="005C5127" w:rsidRDefault="005C5127" w:rsidP="00294052">
      <w:pPr>
        <w:jc w:val="both"/>
      </w:pPr>
      <w:r>
        <w:t>- Existe un plan de gestión de residuos que garantiza el máximo reciclaje, al final de su vida útil, de los equipos eléctricos y electrónicos</w:t>
      </w:r>
    </w:p>
    <w:p w14:paraId="6AC794B8"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4646F1B" w14:textId="17A2BC9C" w:rsidR="006014B0" w:rsidRDefault="006014B0" w:rsidP="00294052">
      <w:pPr>
        <w:jc w:val="both"/>
      </w:pPr>
    </w:p>
    <w:p w14:paraId="4CB9C0D1" w14:textId="2A54C2AF" w:rsidR="006014B0" w:rsidRPr="006014B0" w:rsidRDefault="006014B0" w:rsidP="00294052">
      <w:pPr>
        <w:jc w:val="both"/>
        <w:rPr>
          <w:b/>
          <w:bCs/>
        </w:rPr>
      </w:pPr>
      <w:r>
        <w:rPr>
          <w:b/>
          <w:bCs/>
        </w:rPr>
        <w:t xml:space="preserve">Condición específica nº 5: </w:t>
      </w:r>
      <w:r w:rsidRPr="006014B0">
        <w:rPr>
          <w:b/>
          <w:bCs/>
        </w:rPr>
        <w:t xml:space="preserve"> </w:t>
      </w:r>
    </w:p>
    <w:p w14:paraId="110A6878" w14:textId="77777777" w:rsidR="00291847" w:rsidRDefault="005C5127" w:rsidP="00AB4B54">
      <w:pPr>
        <w:jc w:val="both"/>
      </w:pPr>
      <w:r>
        <w:t>- Se adoptarán medidas para reducir el ruido, el polvo y las emisiones contaminantes durante la fase de obra y se ejecutarán las actuaciones asociadas a esta medida siempre cumpliendo la normativa de aplicación vigente en cuanto a la posible contaminación de suelos y agua.</w:t>
      </w:r>
      <w:r>
        <w:cr/>
      </w:r>
    </w:p>
    <w:p w14:paraId="0C510547" w14:textId="04CEEA9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5463DAE0" w14:textId="1B44201B" w:rsidR="005C5127" w:rsidRDefault="005C5127" w:rsidP="00294052">
      <w:pPr>
        <w:jc w:val="both"/>
      </w:pPr>
    </w:p>
    <w:p w14:paraId="648C7559" w14:textId="4B47DE24" w:rsidR="006014B0" w:rsidRPr="006014B0" w:rsidRDefault="006014B0" w:rsidP="00294052">
      <w:pPr>
        <w:jc w:val="both"/>
        <w:rPr>
          <w:b/>
          <w:bCs/>
        </w:rPr>
      </w:pPr>
      <w:r>
        <w:rPr>
          <w:b/>
          <w:bCs/>
        </w:rPr>
        <w:t xml:space="preserve">Condición específica nº 6: </w:t>
      </w:r>
      <w:r w:rsidRPr="006014B0">
        <w:rPr>
          <w:b/>
          <w:bCs/>
        </w:rPr>
        <w:t xml:space="preserve"> </w:t>
      </w:r>
    </w:p>
    <w:p w14:paraId="13E89B34" w14:textId="3C9F370D" w:rsidR="005C5127" w:rsidRDefault="005C5127" w:rsidP="00294052">
      <w:pPr>
        <w:jc w:val="both"/>
      </w:pPr>
      <w:r>
        <w:t>- Se asegurará que las instalaciones de infraestructuras IT no afectarán negativamente a las buenas condiciones y la resiliencia de los ecosistemas, tampoco al estado de conservación de los hábitats y las especies, en particular los espacios de interés de la Unión incluida la Red Natura 2000 de áreas protegidas, sitios del Patrimonio Mundial de la Unesco y otras áreas protegidas). Por ello cuando sea preceptivo, se realizará la Evaluación de Impacto medioambiental, de acuerdo con lo establecido en la Directiva 2011/92/EU.</w:t>
      </w:r>
    </w:p>
    <w:p w14:paraId="3E9CAEAE"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30FD499" w14:textId="2B0E465C" w:rsidR="00294052" w:rsidRDefault="00294052" w:rsidP="00294052">
      <w:pPr>
        <w:jc w:val="both"/>
      </w:pPr>
    </w:p>
    <w:p w14:paraId="7652719E" w14:textId="77777777" w:rsidR="00863362" w:rsidRPr="002152B6" w:rsidRDefault="00863362" w:rsidP="00863362">
      <w:pPr>
        <w:ind w:left="708"/>
        <w:jc w:val="center"/>
        <w:rPr>
          <w:b/>
          <w:bCs/>
        </w:rPr>
      </w:pPr>
      <w:r w:rsidRPr="002152B6">
        <w:rPr>
          <w:b/>
          <w:bCs/>
          <w:highlight w:val="yellow"/>
        </w:rPr>
        <w:t>Firma electrónica</w:t>
      </w:r>
    </w:p>
    <w:p w14:paraId="5DADF9BB" w14:textId="77777777" w:rsidR="00863362" w:rsidRDefault="00863362" w:rsidP="00294052">
      <w:pPr>
        <w:jc w:val="both"/>
      </w:pPr>
    </w:p>
    <w:sectPr w:rsidR="00863362" w:rsidSect="000051D0">
      <w:headerReference w:type="default" r:id="rId11"/>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B2CE" w14:textId="77777777" w:rsidR="006F11EC" w:rsidRDefault="006F11EC" w:rsidP="00295F8F">
      <w:pPr>
        <w:spacing w:after="0" w:line="240" w:lineRule="auto"/>
      </w:pPr>
      <w:r>
        <w:separator/>
      </w:r>
    </w:p>
  </w:endnote>
  <w:endnote w:type="continuationSeparator" w:id="0">
    <w:p w14:paraId="0C5AFA26" w14:textId="77777777" w:rsidR="006F11EC" w:rsidRDefault="006F11EC" w:rsidP="0029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F459" w14:textId="77777777" w:rsidR="006F11EC" w:rsidRDefault="006F11EC" w:rsidP="00295F8F">
      <w:pPr>
        <w:spacing w:after="0" w:line="240" w:lineRule="auto"/>
      </w:pPr>
      <w:r>
        <w:separator/>
      </w:r>
    </w:p>
  </w:footnote>
  <w:footnote w:type="continuationSeparator" w:id="0">
    <w:p w14:paraId="7AECE0AA" w14:textId="77777777" w:rsidR="006F11EC" w:rsidRDefault="006F11EC" w:rsidP="0029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D297" w14:textId="77777777" w:rsidR="00E33F64" w:rsidRDefault="00E33F64" w:rsidP="00E33F64">
    <w:pPr>
      <w:pStyle w:val="Header10"/>
    </w:pPr>
    <w:r>
      <w:rPr>
        <w:noProof/>
        <w:shd w:val="clear" w:color="auto" w:fill="E6E6E6"/>
        <w:lang w:eastAsia="es-ES"/>
      </w:rPr>
      <w:drawing>
        <wp:anchor distT="0" distB="0" distL="114300" distR="114300" simplePos="0" relativeHeight="251660288" behindDoc="0" locked="0" layoutInCell="1" allowOverlap="1" wp14:anchorId="73B3E223" wp14:editId="5C9E2385">
          <wp:simplePos x="0" y="0"/>
          <wp:positionH relativeFrom="column">
            <wp:posOffset>3802380</wp:posOffset>
          </wp:positionH>
          <wp:positionV relativeFrom="paragraph">
            <wp:posOffset>53340</wp:posOffset>
          </wp:positionV>
          <wp:extent cx="1864360" cy="367030"/>
          <wp:effectExtent l="0" t="0" r="2540" b="0"/>
          <wp:wrapNone/>
          <wp:docPr id="5" name="Picture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367030"/>
                  </a:xfrm>
                  <a:prstGeom prst="rect">
                    <a:avLst/>
                  </a:prstGeom>
                </pic:spPr>
              </pic:pic>
            </a:graphicData>
          </a:graphic>
        </wp:anchor>
      </w:drawing>
    </w:r>
    <w:r>
      <w:rPr>
        <w:noProof/>
        <w:shd w:val="clear" w:color="auto" w:fill="E6E6E6"/>
        <w:lang w:eastAsia="es-ES"/>
      </w:rPr>
      <w:drawing>
        <wp:anchor distT="0" distB="0" distL="114300" distR="114300" simplePos="0" relativeHeight="251659264" behindDoc="0" locked="0" layoutInCell="1" allowOverlap="1" wp14:anchorId="6B17F5BC" wp14:editId="39C57AF6">
          <wp:simplePos x="0" y="0"/>
          <wp:positionH relativeFrom="column">
            <wp:posOffset>43815</wp:posOffset>
          </wp:positionH>
          <wp:positionV relativeFrom="paragraph">
            <wp:posOffset>13335</wp:posOffset>
          </wp:positionV>
          <wp:extent cx="1234440" cy="357505"/>
          <wp:effectExtent l="0" t="0" r="3810" b="4445"/>
          <wp:wrapThrough wrapText="bothSides">
            <wp:wrapPolygon edited="0">
              <wp:start x="0" y="0"/>
              <wp:lineTo x="0" y="20718"/>
              <wp:lineTo x="21333" y="20718"/>
              <wp:lineTo x="21333" y="0"/>
              <wp:lineTo x="0" y="0"/>
            </wp:wrapPolygon>
          </wp:wrapThrough>
          <wp:docPr id="2" name="Picture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faz de usuario gráfica, Aplicación&#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357505"/>
                  </a:xfrm>
                  <a:prstGeom prst="rect">
                    <a:avLst/>
                  </a:prstGeom>
                </pic:spPr>
              </pic:pic>
            </a:graphicData>
          </a:graphic>
        </wp:anchor>
      </w:drawing>
    </w:r>
    <w:r w:rsidRPr="004C0659">
      <w:t xml:space="preserve"> </w:t>
    </w:r>
    <w:r w:rsidRPr="00FA47C8">
      <w:rPr>
        <w:noProof/>
      </w:rPr>
      <w:drawing>
        <wp:inline distT="0" distB="0" distL="0" distR="0" wp14:anchorId="24AC8C13" wp14:editId="0A868BF9">
          <wp:extent cx="1356360" cy="384480"/>
          <wp:effectExtent l="0" t="0" r="0" b="0"/>
          <wp:docPr id="18530698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69878" name="Imagen 1" descr="Texto&#10;&#10;Descripción generada automáticamente"/>
                  <pic:cNvPicPr/>
                </pic:nvPicPr>
                <pic:blipFill>
                  <a:blip r:embed="rId3"/>
                  <a:stretch>
                    <a:fillRect/>
                  </a:stretch>
                </pic:blipFill>
                <pic:spPr>
                  <a:xfrm>
                    <a:off x="0" y="0"/>
                    <a:ext cx="1400598" cy="397020"/>
                  </a:xfrm>
                  <a:prstGeom prst="rect">
                    <a:avLst/>
                  </a:prstGeom>
                </pic:spPr>
              </pic:pic>
            </a:graphicData>
          </a:graphic>
        </wp:inline>
      </w:drawing>
    </w:r>
    <w:r>
      <w:rPr>
        <w:noProof/>
        <w:color w:val="1F497D"/>
        <w:shd w:val="clear" w:color="auto" w:fill="E6E6E6"/>
        <w:lang w:eastAsia="es-ES"/>
      </w:rPr>
      <w:t xml:space="preserve"> </w:t>
    </w:r>
    <w:r>
      <w:rPr>
        <w:noProof/>
        <w:color w:val="1F497D"/>
        <w:shd w:val="clear" w:color="auto" w:fill="E6E6E6"/>
        <w:lang w:eastAsia="es-ES"/>
      </w:rPr>
      <w:drawing>
        <wp:inline distT="0" distB="0" distL="0" distR="0" wp14:anchorId="66B4857A" wp14:editId="3671981A">
          <wp:extent cx="842645" cy="384810"/>
          <wp:effectExtent l="0" t="0" r="0" b="0"/>
          <wp:docPr id="7" name="Picture 7" descr="cid:image002.jpg@01D77714.1752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2.jpg@01D77714.175274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4858" cy="408654"/>
                  </a:xfrm>
                  <a:prstGeom prst="rect">
                    <a:avLst/>
                  </a:prstGeom>
                  <a:noFill/>
                  <a:ln>
                    <a:noFill/>
                  </a:ln>
                </pic:spPr>
              </pic:pic>
            </a:graphicData>
          </a:graphic>
        </wp:inline>
      </w:drawing>
    </w:r>
  </w:p>
  <w:p w14:paraId="0CD4F511" w14:textId="77777777" w:rsidR="00295F8F" w:rsidRDefault="00295F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284314510">
    <w:abstractNumId w:val="1"/>
  </w:num>
  <w:num w:numId="2" w16cid:durableId="1286738823">
    <w:abstractNumId w:val="2"/>
  </w:num>
  <w:num w:numId="3" w16cid:durableId="988948259">
    <w:abstractNumId w:val="3"/>
  </w:num>
  <w:num w:numId="4" w16cid:durableId="1539857118">
    <w:abstractNumId w:val="4"/>
  </w:num>
  <w:num w:numId="5" w16cid:durableId="1197618428">
    <w:abstractNumId w:val="6"/>
  </w:num>
  <w:num w:numId="6" w16cid:durableId="433286253">
    <w:abstractNumId w:val="5"/>
  </w:num>
  <w:num w:numId="7" w16cid:durableId="121249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1068D6"/>
    <w:rsid w:val="001A4255"/>
    <w:rsid w:val="00205935"/>
    <w:rsid w:val="002364EE"/>
    <w:rsid w:val="002415C9"/>
    <w:rsid w:val="00291847"/>
    <w:rsid w:val="00294052"/>
    <w:rsid w:val="00295F8F"/>
    <w:rsid w:val="002C365C"/>
    <w:rsid w:val="00311A34"/>
    <w:rsid w:val="00367AA3"/>
    <w:rsid w:val="0038724F"/>
    <w:rsid w:val="003A750E"/>
    <w:rsid w:val="003C4093"/>
    <w:rsid w:val="003D45BA"/>
    <w:rsid w:val="003F511F"/>
    <w:rsid w:val="003F63BC"/>
    <w:rsid w:val="00457F51"/>
    <w:rsid w:val="004E6C90"/>
    <w:rsid w:val="005C5127"/>
    <w:rsid w:val="006014B0"/>
    <w:rsid w:val="006B0630"/>
    <w:rsid w:val="006F11EC"/>
    <w:rsid w:val="007D5953"/>
    <w:rsid w:val="00863362"/>
    <w:rsid w:val="00876508"/>
    <w:rsid w:val="008F7753"/>
    <w:rsid w:val="009713D8"/>
    <w:rsid w:val="00991C2B"/>
    <w:rsid w:val="00AA7984"/>
    <w:rsid w:val="00AB4B54"/>
    <w:rsid w:val="00B24C1B"/>
    <w:rsid w:val="00BB1816"/>
    <w:rsid w:val="00C246B0"/>
    <w:rsid w:val="00C309D4"/>
    <w:rsid w:val="00C628BD"/>
    <w:rsid w:val="00C8282E"/>
    <w:rsid w:val="00CA4A93"/>
    <w:rsid w:val="00CC2B3C"/>
    <w:rsid w:val="00CC64DE"/>
    <w:rsid w:val="00D0748E"/>
    <w:rsid w:val="00D41823"/>
    <w:rsid w:val="00D5302A"/>
    <w:rsid w:val="00E33F64"/>
    <w:rsid w:val="00E44DD9"/>
    <w:rsid w:val="00E50EF1"/>
    <w:rsid w:val="00E60286"/>
    <w:rsid w:val="00F01B8F"/>
    <w:rsid w:val="00F03042"/>
    <w:rsid w:val="00F45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F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character" w:styleId="Hipervnculovisitado">
    <w:name w:val="FollowedHyperlink"/>
    <w:basedOn w:val="Fuentedeprrafopredeter"/>
    <w:uiPriority w:val="99"/>
    <w:semiHidden/>
    <w:unhideWhenUsed/>
    <w:rsid w:val="003F63BC"/>
    <w:rPr>
      <w:color w:val="954F72" w:themeColor="followedHyperlink"/>
      <w:u w:val="single"/>
    </w:rPr>
  </w:style>
  <w:style w:type="table" w:styleId="Tablaconcuadrcula">
    <w:name w:val="Table Grid"/>
    <w:basedOn w:val="Tablanormal"/>
    <w:uiPriority w:val="39"/>
    <w:rsid w:val="0029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5F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5F8F"/>
  </w:style>
  <w:style w:type="paragraph" w:styleId="Piedepgina">
    <w:name w:val="footer"/>
    <w:basedOn w:val="Normal"/>
    <w:link w:val="PiedepginaCar"/>
    <w:uiPriority w:val="99"/>
    <w:unhideWhenUsed/>
    <w:rsid w:val="00295F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5F8F"/>
  </w:style>
  <w:style w:type="character" w:customStyle="1" w:styleId="HeaderChar">
    <w:name w:val="Header Char"/>
    <w:basedOn w:val="Fuentedeprrafopredeter"/>
    <w:link w:val="Header10"/>
    <w:uiPriority w:val="99"/>
    <w:locked/>
    <w:rsid w:val="00295F8F"/>
    <w:rPr>
      <w:rFonts w:ascii="Calibri" w:hAnsi="Calibri" w:cs="Arial"/>
      <w:szCs w:val="19"/>
    </w:rPr>
  </w:style>
  <w:style w:type="paragraph" w:customStyle="1" w:styleId="Header10">
    <w:name w:val="Header10"/>
    <w:basedOn w:val="Normal"/>
    <w:link w:val="HeaderChar"/>
    <w:uiPriority w:val="99"/>
    <w:rsid w:val="00295F8F"/>
    <w:pPr>
      <w:tabs>
        <w:tab w:val="center" w:pos="4252"/>
        <w:tab w:val="right" w:pos="8504"/>
      </w:tabs>
      <w:spacing w:before="60" w:after="60" w:line="240" w:lineRule="auto"/>
      <w:jc w:val="both"/>
    </w:pPr>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0578">
      <w:bodyDiv w:val="1"/>
      <w:marLeft w:val="0"/>
      <w:marRight w:val="0"/>
      <w:marTop w:val="0"/>
      <w:marBottom w:val="0"/>
      <w:divBdr>
        <w:top w:val="none" w:sz="0" w:space="0" w:color="auto"/>
        <w:left w:val="none" w:sz="0" w:space="0" w:color="auto"/>
        <w:bottom w:val="none" w:sz="0" w:space="0" w:color="auto"/>
        <w:right w:val="none" w:sz="0" w:space="0" w:color="auto"/>
      </w:divBdr>
    </w:div>
    <w:div w:id="6091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ap.hacienda.gob.es/bdnstrans/GE/es/convocatorias/72046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0A00A9F10DFC4199000D9F9108E0CF" ma:contentTypeVersion="1" ma:contentTypeDescription="Crear nuevo documento." ma:contentTypeScope="" ma:versionID="924b5a9b58947b3aebde27c3c7d9484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4553B6-00F1-48C0-B797-D01A0C77F4C4}"/>
</file>

<file path=customXml/itemProps2.xml><?xml version="1.0" encoding="utf-8"?>
<ds:datastoreItem xmlns:ds="http://schemas.openxmlformats.org/officeDocument/2006/customXml" ds:itemID="{EF11AB5C-E509-4C37-B492-9CBAFB446BA7}">
  <ds:schemaRefs>
    <ds:schemaRef ds:uri="http://schemas.microsoft.com/sharepoint/v3/contenttype/forms"/>
  </ds:schemaRefs>
</ds:datastoreItem>
</file>

<file path=customXml/itemProps3.xml><?xml version="1.0" encoding="utf-8"?>
<ds:datastoreItem xmlns:ds="http://schemas.openxmlformats.org/officeDocument/2006/customXml" ds:itemID="{49A3B3A2-A666-4362-94FA-151F7CBB51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2025-03-06T20:00:00Z</dcterms:created>
  <dcterms:modified xsi:type="dcterms:W3CDTF">2025-03-06T20:30:00Z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0x010100510A00A9F10DFC4199000D9F9108E0CF</vt:lpwstr>
  </property>
</Properties>
</file>