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4088"/>
        <w:gridCol w:w="5652"/>
      </w:tblGrid>
      <w:tr w:rsidR="00F349A2" w14:paraId="49B85857" w14:textId="77777777" w:rsidTr="006B4596">
        <w:tc>
          <w:tcPr>
            <w:tcW w:w="9740" w:type="dxa"/>
            <w:gridSpan w:val="2"/>
          </w:tcPr>
          <w:p w14:paraId="76D0F79E" w14:textId="77777777" w:rsidR="00F349A2" w:rsidRDefault="00F349A2" w:rsidP="006B4596">
            <w:pPr>
              <w:jc w:val="center"/>
            </w:pPr>
            <w:r w:rsidRPr="006014B0">
              <w:rPr>
                <w:b/>
                <w:bCs/>
                <w:sz w:val="28"/>
                <w:szCs w:val="28"/>
              </w:rPr>
              <w:t xml:space="preserve">MEMORIA DEL CUMPLIMIENTO DE LAS CONDICIONES ESPECÍFICAS </w:t>
            </w:r>
            <w:r>
              <w:rPr>
                <w:b/>
                <w:bCs/>
                <w:sz w:val="28"/>
                <w:szCs w:val="28"/>
              </w:rPr>
              <w:t xml:space="preserve">EN RELACIÓN CON EL PRINCIPIO </w:t>
            </w:r>
            <w:r w:rsidRPr="006014B0">
              <w:rPr>
                <w:b/>
                <w:bCs/>
                <w:sz w:val="28"/>
                <w:szCs w:val="28"/>
              </w:rPr>
              <w:t>DE DNSH</w:t>
            </w:r>
            <w:r>
              <w:rPr>
                <w:b/>
                <w:bCs/>
                <w:sz w:val="28"/>
                <w:szCs w:val="28"/>
              </w:rPr>
              <w:t xml:space="preserve"> (Do No </w:t>
            </w:r>
            <w:proofErr w:type="spellStart"/>
            <w:r>
              <w:rPr>
                <w:b/>
                <w:bCs/>
                <w:sz w:val="28"/>
                <w:szCs w:val="28"/>
              </w:rPr>
              <w:t>Significant</w:t>
            </w:r>
            <w:proofErr w:type="spellEnd"/>
            <w:r>
              <w:rPr>
                <w:b/>
                <w:bCs/>
                <w:sz w:val="28"/>
                <w:szCs w:val="28"/>
              </w:rPr>
              <w:t xml:space="preserve"> </w:t>
            </w:r>
            <w:proofErr w:type="spellStart"/>
            <w:r>
              <w:rPr>
                <w:b/>
                <w:bCs/>
                <w:sz w:val="28"/>
                <w:szCs w:val="28"/>
              </w:rPr>
              <w:t>Harm</w:t>
            </w:r>
            <w:proofErr w:type="spellEnd"/>
            <w:r>
              <w:rPr>
                <w:b/>
                <w:bCs/>
                <w:sz w:val="28"/>
                <w:szCs w:val="28"/>
              </w:rPr>
              <w:t>)</w:t>
            </w:r>
          </w:p>
        </w:tc>
      </w:tr>
      <w:tr w:rsidR="00F349A2" w14:paraId="584A6E63" w14:textId="77777777" w:rsidTr="006B4596">
        <w:tc>
          <w:tcPr>
            <w:tcW w:w="4088" w:type="dxa"/>
          </w:tcPr>
          <w:p w14:paraId="4021E9D5" w14:textId="77777777" w:rsidR="00F349A2" w:rsidRDefault="00F349A2" w:rsidP="006B4596">
            <w:pPr>
              <w:jc w:val="both"/>
              <w:rPr>
                <w:b/>
                <w:bCs/>
                <w:sz w:val="24"/>
                <w:szCs w:val="24"/>
              </w:rPr>
            </w:pPr>
            <w:r>
              <w:rPr>
                <w:b/>
                <w:bCs/>
                <w:sz w:val="24"/>
                <w:szCs w:val="24"/>
              </w:rPr>
              <w:t>Convocatoria</w:t>
            </w:r>
          </w:p>
        </w:tc>
        <w:tc>
          <w:tcPr>
            <w:tcW w:w="5652" w:type="dxa"/>
          </w:tcPr>
          <w:p w14:paraId="70145D41" w14:textId="68EA7F1F" w:rsidR="00F349A2" w:rsidRDefault="00F349A2" w:rsidP="00F349A2">
            <w:pPr>
              <w:rPr>
                <w:b/>
                <w:bCs/>
                <w:sz w:val="24"/>
                <w:szCs w:val="24"/>
              </w:rPr>
            </w:pPr>
            <w:r>
              <w:t>UNICO 5G Redes – Activas 2023</w:t>
            </w:r>
            <w:r w:rsidR="00631435">
              <w:t xml:space="preserve"> y 2024</w:t>
            </w:r>
          </w:p>
        </w:tc>
      </w:tr>
      <w:tr w:rsidR="00F349A2" w14:paraId="1E848450" w14:textId="77777777" w:rsidTr="006B4596">
        <w:tc>
          <w:tcPr>
            <w:tcW w:w="4088" w:type="dxa"/>
          </w:tcPr>
          <w:p w14:paraId="3A79BBD5" w14:textId="77777777" w:rsidR="00F349A2" w:rsidRDefault="00F349A2" w:rsidP="006B4596">
            <w:pPr>
              <w:ind w:left="708" w:hanging="708"/>
              <w:jc w:val="both"/>
              <w:rPr>
                <w:b/>
                <w:bCs/>
                <w:sz w:val="24"/>
                <w:szCs w:val="24"/>
              </w:rPr>
            </w:pPr>
            <w:r>
              <w:rPr>
                <w:b/>
                <w:bCs/>
                <w:sz w:val="24"/>
                <w:szCs w:val="24"/>
              </w:rPr>
              <w:t>Instrumento jurídico</w:t>
            </w:r>
          </w:p>
        </w:tc>
        <w:tc>
          <w:tcPr>
            <w:tcW w:w="5652" w:type="dxa"/>
          </w:tcPr>
          <w:p w14:paraId="7E2697BD" w14:textId="17A03B91" w:rsidR="00F349A2" w:rsidRDefault="00F349A2" w:rsidP="00F349A2">
            <w:r>
              <w:t>Orden ETD/685/2023, de 21 de junio, por la que se establecen las bases reguladoras de la concesión de ayudas para la provisión del conjunto de equipamiento activo e infraestructura auxiliar necesaria para la provisión de servicios de comunicaciones móviles con tecnología 5G en zonas donde no existe cobertura móvil 4G con servicio mínimo de 50 Mbps (Programa único 5G redes activas), en el marco del Plan de Recuperación, Transformación y Resiliencia.</w:t>
            </w:r>
          </w:p>
          <w:p w14:paraId="6E506D78" w14:textId="4D6B9B3C" w:rsidR="00F349A2" w:rsidRDefault="00631435" w:rsidP="00F349A2">
            <w:pPr>
              <w:rPr>
                <w:b/>
                <w:bCs/>
                <w:sz w:val="24"/>
                <w:szCs w:val="24"/>
              </w:rPr>
            </w:pPr>
            <w:hyperlink r:id="rId7" w:history="1">
              <w:r w:rsidR="00F349A2" w:rsidRPr="000023AE">
                <w:rPr>
                  <w:rStyle w:val="Hipervnculo"/>
                </w:rPr>
                <w:t>https://www.boe.es/boe/dias/2023/06/26/pdfs/BOE-A-2023-14994.pdf</w:t>
              </w:r>
            </w:hyperlink>
          </w:p>
        </w:tc>
      </w:tr>
      <w:tr w:rsidR="00F349A2" w14:paraId="4FD900DE" w14:textId="77777777" w:rsidTr="006B4596">
        <w:tc>
          <w:tcPr>
            <w:tcW w:w="4088" w:type="dxa"/>
          </w:tcPr>
          <w:p w14:paraId="5CD4C44E" w14:textId="77777777" w:rsidR="00F349A2" w:rsidRDefault="00F349A2" w:rsidP="006B4596">
            <w:pPr>
              <w:jc w:val="both"/>
              <w:rPr>
                <w:b/>
                <w:bCs/>
                <w:sz w:val="24"/>
                <w:szCs w:val="24"/>
              </w:rPr>
            </w:pPr>
            <w:r>
              <w:rPr>
                <w:b/>
                <w:bCs/>
                <w:sz w:val="24"/>
                <w:szCs w:val="24"/>
              </w:rPr>
              <w:t>Condiciones específicas en relación con el principio de DNSH</w:t>
            </w:r>
          </w:p>
        </w:tc>
        <w:tc>
          <w:tcPr>
            <w:tcW w:w="5652" w:type="dxa"/>
          </w:tcPr>
          <w:p w14:paraId="697BDCF8" w14:textId="7919E744" w:rsidR="00F349A2" w:rsidRDefault="00F349A2" w:rsidP="006B4596">
            <w:pPr>
              <w:jc w:val="both"/>
              <w:rPr>
                <w:b/>
                <w:bCs/>
                <w:sz w:val="24"/>
                <w:szCs w:val="24"/>
              </w:rPr>
            </w:pPr>
            <w:r w:rsidRPr="004B23EF">
              <w:t xml:space="preserve">Anexo </w:t>
            </w:r>
            <w:r>
              <w:t>I del instrumento jurídico</w:t>
            </w:r>
          </w:p>
        </w:tc>
      </w:tr>
      <w:tr w:rsidR="00F349A2" w14:paraId="40387118" w14:textId="77777777" w:rsidTr="006B4596">
        <w:tc>
          <w:tcPr>
            <w:tcW w:w="4088" w:type="dxa"/>
          </w:tcPr>
          <w:p w14:paraId="53031844" w14:textId="77777777" w:rsidR="00F349A2" w:rsidRDefault="00F349A2" w:rsidP="006B4596">
            <w:pPr>
              <w:jc w:val="both"/>
              <w:rPr>
                <w:b/>
                <w:bCs/>
                <w:sz w:val="24"/>
                <w:szCs w:val="24"/>
              </w:rPr>
            </w:pPr>
            <w:r>
              <w:rPr>
                <w:b/>
                <w:bCs/>
                <w:sz w:val="24"/>
                <w:szCs w:val="24"/>
              </w:rPr>
              <w:t>Beneficiario</w:t>
            </w:r>
          </w:p>
        </w:tc>
        <w:tc>
          <w:tcPr>
            <w:tcW w:w="5652" w:type="dxa"/>
          </w:tcPr>
          <w:p w14:paraId="38C6DDD1" w14:textId="77777777" w:rsidR="00F349A2" w:rsidRPr="00294052" w:rsidRDefault="00F349A2" w:rsidP="006B4596">
            <w:pPr>
              <w:jc w:val="both"/>
              <w:rPr>
                <w:sz w:val="24"/>
                <w:szCs w:val="24"/>
              </w:rPr>
            </w:pPr>
            <w:r w:rsidRPr="00294052">
              <w:rPr>
                <w:sz w:val="24"/>
                <w:szCs w:val="24"/>
                <w:highlight w:val="yellow"/>
              </w:rPr>
              <w:t>XXX</w:t>
            </w:r>
          </w:p>
        </w:tc>
      </w:tr>
    </w:tbl>
    <w:p w14:paraId="50577B36" w14:textId="77777777" w:rsidR="00F349A2" w:rsidRDefault="00F349A2" w:rsidP="00F349A2"/>
    <w:tbl>
      <w:tblPr>
        <w:tblStyle w:val="Tablaconcuadrcula"/>
        <w:tblW w:w="0" w:type="auto"/>
        <w:tblLook w:val="04A0" w:firstRow="1" w:lastRow="0" w:firstColumn="1" w:lastColumn="0" w:noHBand="0" w:noVBand="1"/>
      </w:tblPr>
      <w:tblGrid>
        <w:gridCol w:w="9740"/>
      </w:tblGrid>
      <w:tr w:rsidR="00F349A2" w14:paraId="7E71497D" w14:textId="77777777" w:rsidTr="006B4596">
        <w:tc>
          <w:tcPr>
            <w:tcW w:w="9740" w:type="dxa"/>
          </w:tcPr>
          <w:p w14:paraId="471EAA1F" w14:textId="77777777" w:rsidR="00F349A2" w:rsidRDefault="00F349A2" w:rsidP="006B4596">
            <w:pPr>
              <w:spacing w:after="160" w:line="259" w:lineRule="auto"/>
              <w:jc w:val="both"/>
              <w:rPr>
                <w:sz w:val="28"/>
                <w:szCs w:val="28"/>
              </w:rPr>
            </w:pPr>
            <w:r w:rsidRPr="00294052">
              <w:rPr>
                <w:sz w:val="28"/>
                <w:szCs w:val="28"/>
              </w:rPr>
              <w:t xml:space="preserve">En esta memoria se describen las acciones llevadas a cabo por </w:t>
            </w:r>
            <w:r w:rsidRPr="00294052">
              <w:rPr>
                <w:sz w:val="28"/>
                <w:szCs w:val="28"/>
                <w:highlight w:val="yellow"/>
              </w:rPr>
              <w:t>[BENEFICARIO</w:t>
            </w:r>
            <w:r w:rsidRPr="00294052">
              <w:rPr>
                <w:sz w:val="28"/>
                <w:szCs w:val="28"/>
              </w:rPr>
              <w:t xml:space="preserve">] para dar cumplimiento a cada una de las condiciones específicas relativas al principio DNSH que son aplicables a esta actuación y que se enumeran a continuación asociadas a cada uno de los objetivos medioambientales recogidos en el artículo 17 del Reglamento 2020/852: </w:t>
            </w:r>
          </w:p>
        </w:tc>
      </w:tr>
    </w:tbl>
    <w:p w14:paraId="5B1D45A2" w14:textId="77777777" w:rsidR="00F349A2" w:rsidRDefault="00F349A2" w:rsidP="00F349A2">
      <w:pPr>
        <w:jc w:val="both"/>
        <w:rPr>
          <w:highlight w:val="yellow"/>
        </w:rPr>
      </w:pPr>
    </w:p>
    <w:p w14:paraId="4F7C8396" w14:textId="77777777" w:rsidR="00F349A2" w:rsidRDefault="00F349A2" w:rsidP="001A4255"/>
    <w:p w14:paraId="388E76E2" w14:textId="77777777"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1: </w:t>
      </w:r>
      <w:r w:rsidRPr="006014B0">
        <w:rPr>
          <w:b/>
          <w:bCs/>
        </w:rPr>
        <w:t xml:space="preserve"> </w:t>
      </w:r>
    </w:p>
    <w:p w14:paraId="4839B71F" w14:textId="77777777" w:rsidR="00591BED" w:rsidRPr="006309AE" w:rsidRDefault="00591BED" w:rsidP="00DA33E7">
      <w:pPr>
        <w:jc w:val="both"/>
      </w:pPr>
      <w:r w:rsidRPr="006309AE">
        <w:t>– El beneficiario demuestra que realiza los mayores esfuerzos para implementar prácticas relevantes sobre eficiencia energética en los equipos e instalaciones.</w:t>
      </w:r>
    </w:p>
    <w:p w14:paraId="6321CF95" w14:textId="77777777" w:rsidR="00591BED" w:rsidRPr="006309AE" w:rsidRDefault="00591BED" w:rsidP="00DA33E7">
      <w:pPr>
        <w:jc w:val="both"/>
      </w:pPr>
      <w:r w:rsidRPr="006309AE">
        <w:t xml:space="preserve"> – Los equipos que se utilicen cumplirán con los requisitos relacionados con el consumo energético establecidos de acuerdo con la Directiva 2009/125/EC.</w:t>
      </w:r>
    </w:p>
    <w:p w14:paraId="6E16C3F8" w14:textId="4529B082" w:rsidR="00591BED" w:rsidRDefault="00591BED" w:rsidP="00DA33E7">
      <w:pPr>
        <w:jc w:val="both"/>
      </w:pPr>
      <w:r w:rsidRPr="006309AE">
        <w:t xml:space="preserve"> – Para la instalación de las infraestructuras, se seguirá la versión más reciente del Código de conducta europeo aplicable sobre eficiencia energética</w:t>
      </w:r>
      <w:r w:rsidR="00DA33E7">
        <w:t>.</w:t>
      </w:r>
    </w:p>
    <w:p w14:paraId="27DAE60E"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6B654A29" w14:textId="345196FA" w:rsidR="00DA33E7" w:rsidRDefault="00DA33E7" w:rsidP="00DA33E7">
      <w:pPr>
        <w:jc w:val="both"/>
      </w:pPr>
    </w:p>
    <w:p w14:paraId="2C3FB068" w14:textId="3E3D9B72"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2: </w:t>
      </w:r>
      <w:r w:rsidRPr="006014B0">
        <w:rPr>
          <w:b/>
          <w:bCs/>
        </w:rPr>
        <w:t xml:space="preserve"> </w:t>
      </w:r>
    </w:p>
    <w:p w14:paraId="1ED6490E" w14:textId="4A9D5D1C" w:rsidR="005C5127" w:rsidRPr="006309AE" w:rsidRDefault="00591BED" w:rsidP="00DA33E7">
      <w:pPr>
        <w:jc w:val="both"/>
      </w:pPr>
      <w:r w:rsidRPr="006309AE">
        <w:t xml:space="preserve">- Se realizará una evaluación del riesgo climático y la vulnerabilidad de las instalaciones de infraestructuras IT y en su caso, se establecerán las soluciones de adaptación adecuadas para cada caso. </w:t>
      </w:r>
    </w:p>
    <w:p w14:paraId="0439D3F6" w14:textId="77777777" w:rsidR="00DA33E7" w:rsidRPr="00591BED" w:rsidRDefault="00DA33E7" w:rsidP="00DA33E7">
      <w:pPr>
        <w:jc w:val="both"/>
      </w:pPr>
      <w:r>
        <w:rPr>
          <w:highlight w:val="yellow"/>
        </w:rPr>
        <w:lastRenderedPageBreak/>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46C7AAA0" w14:textId="3DA153A1"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3: </w:t>
      </w:r>
      <w:r w:rsidRPr="006014B0">
        <w:rPr>
          <w:b/>
          <w:bCs/>
        </w:rPr>
        <w:t xml:space="preserve"> </w:t>
      </w:r>
    </w:p>
    <w:p w14:paraId="4CA669F7" w14:textId="71122B84" w:rsidR="0033179E" w:rsidRDefault="00591BED" w:rsidP="00DA33E7">
      <w:pPr>
        <w:jc w:val="both"/>
      </w:pPr>
      <w:r w:rsidRPr="006309AE">
        <w:t>- Los riesgos de degradación ambiental relacionados con la conservación de la calidad del agua y la prevención del estrés hídrico se identificarán y abordarán con el objetivo de lograr un buen estado del agua y un buen potencial ecológico, tal como se define en el artículo 2, puntos 22 y 23, del Reglamento (UE) 2020/852, de conformidad con la Directiva 2000/60/CE del Parlamento Europeo y del Consejo y un plan de gestión del uso y la protección del agua, desarrollado en virtud de la misma para la masa o masas de agua potencialmente afectadas, en consulta con las partes interesadas pertinentes</w:t>
      </w:r>
      <w:r w:rsidR="00FB798A" w:rsidRPr="006309AE">
        <w:t xml:space="preserve">. </w:t>
      </w:r>
    </w:p>
    <w:p w14:paraId="53A2AB73"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5E5DDD8F" w14:textId="47D638A7" w:rsidR="00DA33E7" w:rsidRDefault="00DA33E7" w:rsidP="00DA33E7">
      <w:pPr>
        <w:jc w:val="both"/>
      </w:pPr>
    </w:p>
    <w:p w14:paraId="6C427531" w14:textId="4F527B0D"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4: </w:t>
      </w:r>
      <w:r w:rsidRPr="006014B0">
        <w:rPr>
          <w:b/>
          <w:bCs/>
        </w:rPr>
        <w:t xml:space="preserve"> </w:t>
      </w:r>
    </w:p>
    <w:p w14:paraId="2538A274" w14:textId="77777777" w:rsidR="00591BED" w:rsidRPr="006309AE" w:rsidRDefault="00591BED" w:rsidP="00DA33E7">
      <w:pPr>
        <w:jc w:val="both"/>
      </w:pPr>
      <w:r w:rsidRPr="006309AE">
        <w:t>– Existe un plan de gestión de residuos que garantiza el máximo reciclaje, al final de su vida útil, de los equipos eléctricos y electrónicos.</w:t>
      </w:r>
    </w:p>
    <w:p w14:paraId="58D0320E" w14:textId="77777777" w:rsidR="00591BED" w:rsidRPr="006309AE" w:rsidRDefault="00591BED" w:rsidP="00DA33E7">
      <w:pPr>
        <w:jc w:val="both"/>
      </w:pPr>
      <w:r w:rsidRPr="006309AE">
        <w:t xml:space="preserve"> – Los equipos estarán a lo establecido en la Directiva 2011/65/UE del Parlamento Europeo y del Consejo, de 8 de junio de 2011, sobre restricciones a la utilización de determinadas sustancias peligrosas en aparatos eléctricos y electrónicos. </w:t>
      </w:r>
    </w:p>
    <w:p w14:paraId="64DA6E0E" w14:textId="77777777" w:rsidR="00591BED" w:rsidRPr="006309AE" w:rsidRDefault="00591BED" w:rsidP="00DA33E7">
      <w:pPr>
        <w:jc w:val="both"/>
      </w:pPr>
      <w:r w:rsidRPr="006309AE">
        <w:t xml:space="preserve">– Al final de su vida útil, el equipo se someterá a una preparación para operaciones de reutilización, recuperación o reciclaje, o un tratamiento adecuado, incluida la eliminación de todos los fluidos y un tratamiento selectivo de acuerdo con el anexo VII de la Directiva 2012/19/UE. </w:t>
      </w:r>
    </w:p>
    <w:p w14:paraId="2D5D30F8" w14:textId="77777777" w:rsidR="00591BED" w:rsidRPr="006309AE" w:rsidRDefault="00591BED" w:rsidP="00DA33E7">
      <w:pPr>
        <w:jc w:val="both"/>
      </w:pPr>
      <w:r w:rsidRPr="006309AE">
        <w:t xml:space="preserve">– Al menos el 70 % (en peso) de los residuos de construcción y demolición no peligrosos (excluido el material natural mencionado en la categoría 17 05 04 en la Lista europea de residuos establecida por la Decisión 2000/532/EC) generados, en las actuaciones previstas en esta inversión, será preparado para su reutilización, reciclaje y recuperación de otros materiales, incluidas las operaciones de relleno utilizando residuos para sustituir otros materiales, de acuerdo con la jerarquía de residuos y el Protocolo de gestión de residuos de construcción y demolición de la UE. </w:t>
      </w:r>
    </w:p>
    <w:p w14:paraId="1FB0F44E" w14:textId="77777777" w:rsidR="00591BED" w:rsidRPr="006309AE" w:rsidRDefault="00591BED" w:rsidP="00DA33E7">
      <w:pPr>
        <w:jc w:val="both"/>
      </w:pPr>
      <w:r w:rsidRPr="006309AE">
        <w:t xml:space="preserve">– Los agentes encargados de la construcción de las infraestructuras IT, limitarán la generación de residuos en los procesos relacionados con la construcción y demolición, de conformidad con el Protocolo de gestión de residuos de construcción y demolición de la UE y teniendo en cuenta las mejores técnicas disponibles y utilizando la demolición selectiva para permitir la eliminación y manipulación segura de sustancias peligrosas y facilitar la reutilización y reciclaje de alta calidad mediante la eliminación selectiva de materiales, utilizando los sistemas de clasificación disponibles para residuos de construcción y demolición. </w:t>
      </w:r>
    </w:p>
    <w:p w14:paraId="26F26406" w14:textId="2A478561" w:rsidR="00591BED" w:rsidRDefault="00591BED" w:rsidP="00DA33E7">
      <w:pPr>
        <w:jc w:val="both"/>
      </w:pPr>
      <w:r w:rsidRPr="006309AE">
        <w:t>– El diseño de la infraestructura y las técnicas de construcción apoyarán la circularidad en lo referido a la norma ISO 20887 para evaluar la capacidad de desmontaje o adaptabilidad, cómo están diseñadas para ser más eficientes en el uso de los recursos, adaptables, flexibles y desmontables para permitir la reutilización y el reciclaje.</w:t>
      </w:r>
    </w:p>
    <w:p w14:paraId="187B5610"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14D4A40C" w14:textId="3A47FC78" w:rsidR="00DA33E7" w:rsidRDefault="00DA33E7" w:rsidP="00DA33E7">
      <w:pPr>
        <w:jc w:val="both"/>
      </w:pPr>
    </w:p>
    <w:p w14:paraId="76AD640D" w14:textId="77777777" w:rsidR="00C15A94" w:rsidRDefault="00C15A94" w:rsidP="00DA33E7">
      <w:pPr>
        <w:jc w:val="both"/>
      </w:pPr>
    </w:p>
    <w:p w14:paraId="309F66DD" w14:textId="3FB6F194"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5: </w:t>
      </w:r>
      <w:r w:rsidRPr="006014B0">
        <w:rPr>
          <w:b/>
          <w:bCs/>
        </w:rPr>
        <w:t xml:space="preserve"> </w:t>
      </w:r>
    </w:p>
    <w:p w14:paraId="721BFB93" w14:textId="4AB35A75" w:rsidR="00A355FC" w:rsidRPr="006309AE" w:rsidRDefault="00591BED" w:rsidP="00DA33E7">
      <w:pPr>
        <w:jc w:val="both"/>
      </w:pPr>
      <w:r w:rsidRPr="006309AE">
        <w:t>– Se adoptarán medidas para reducir el ruido, el polvo y las emisiones contaminantes durante la fase de obra y se ejecutarán las actuaciones asociadas a esta medida siempre cumpliendo la normativa de aplicación vigente en cuanto a la posible contaminación de suelos y agua</w:t>
      </w:r>
      <w:r w:rsidR="0033179E" w:rsidRPr="006309AE">
        <w:t>.</w:t>
      </w:r>
    </w:p>
    <w:p w14:paraId="31DA9181"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2DB46D36" w14:textId="77777777" w:rsidR="00DA33E7" w:rsidRDefault="00DA33E7" w:rsidP="00DA33E7">
      <w:pPr>
        <w:jc w:val="both"/>
        <w:rPr>
          <w:b/>
          <w:bCs/>
        </w:rPr>
      </w:pPr>
    </w:p>
    <w:p w14:paraId="2B4EAA83" w14:textId="73BA292E" w:rsidR="00DA33E7" w:rsidRPr="006014B0" w:rsidRDefault="00DA33E7" w:rsidP="00DA33E7">
      <w:pPr>
        <w:jc w:val="both"/>
        <w:rPr>
          <w:b/>
          <w:bCs/>
        </w:rPr>
      </w:pPr>
      <w:r>
        <w:rPr>
          <w:b/>
          <w:bCs/>
        </w:rPr>
        <w:t xml:space="preserve">Condición específica </w:t>
      </w:r>
      <w:proofErr w:type="spellStart"/>
      <w:r>
        <w:rPr>
          <w:b/>
          <w:bCs/>
        </w:rPr>
        <w:t>nº</w:t>
      </w:r>
      <w:proofErr w:type="spellEnd"/>
      <w:r>
        <w:rPr>
          <w:b/>
          <w:bCs/>
        </w:rPr>
        <w:t xml:space="preserve"> 6: </w:t>
      </w:r>
      <w:r w:rsidRPr="006014B0">
        <w:rPr>
          <w:b/>
          <w:bCs/>
        </w:rPr>
        <w:t xml:space="preserve"> </w:t>
      </w:r>
    </w:p>
    <w:p w14:paraId="596E05AE" w14:textId="290CCC45" w:rsidR="0033179E" w:rsidRDefault="00591BED" w:rsidP="00DA33E7">
      <w:pPr>
        <w:jc w:val="both"/>
      </w:pPr>
      <w:r w:rsidRPr="006309AE">
        <w:t xml:space="preserve">– Se asegurará que las instalaciones de conexiones </w:t>
      </w:r>
      <w:proofErr w:type="spellStart"/>
      <w:r w:rsidRPr="00283F2D">
        <w:t>backhaul</w:t>
      </w:r>
      <w:proofErr w:type="spellEnd"/>
      <w:r w:rsidRPr="006309AE">
        <w:t xml:space="preserve"> objeto de la ayuda no afectarán negativamente a las buenas condiciones y la resiliencia de los ecosistemas, tampoco al estado de conservación de los hábitats y las especies, en particular los espacios de interés de la Unión incluida la Red Natura 2000 de áreas protegidas, sitios del Patrimonio Mundial de la Unesco, las Áreas Clave para la Biodiversidad («KBA»), así como otras zonas protegidas dentro de la legislación nacional de preservación del patrimonio natural y de la biodiversidad. Por ello cuando sea preceptivo, se realizará la Evaluación de Impacto medioambiental, de acuerdo con lo establecido en la Directiva 2011/92/EU.</w:t>
      </w:r>
      <w:r w:rsidRPr="00591BED">
        <w:t xml:space="preserve"> </w:t>
      </w:r>
    </w:p>
    <w:p w14:paraId="41C3BBBA" w14:textId="77777777" w:rsidR="00DA33E7" w:rsidRPr="00591BED" w:rsidRDefault="00DA33E7" w:rsidP="00DA33E7">
      <w:pPr>
        <w:jc w:val="both"/>
      </w:pPr>
      <w:r>
        <w:rPr>
          <w:highlight w:val="yellow"/>
        </w:rPr>
        <w:t>DESCRIBA</w:t>
      </w:r>
      <w:r w:rsidRPr="0063704A">
        <w:rPr>
          <w:highlight w:val="yellow"/>
        </w:rPr>
        <w:t xml:space="preserve"> CON DETALLE SUFICIENTE Y REFERENCIAS PERTINENTES </w:t>
      </w:r>
      <w:r>
        <w:rPr>
          <w:highlight w:val="yellow"/>
        </w:rPr>
        <w:t xml:space="preserve">CÓMO SE HA DADO CUMPLIMIENTO A ESTA </w:t>
      </w:r>
      <w:r w:rsidRPr="0063704A">
        <w:rPr>
          <w:highlight w:val="yellow"/>
        </w:rPr>
        <w:t>CONDICI</w:t>
      </w:r>
      <w:r>
        <w:rPr>
          <w:highlight w:val="yellow"/>
        </w:rPr>
        <w:t>Ó</w:t>
      </w:r>
      <w:r w:rsidRPr="0063704A">
        <w:rPr>
          <w:highlight w:val="yellow"/>
        </w:rPr>
        <w:t>N</w:t>
      </w:r>
    </w:p>
    <w:p w14:paraId="7228CCB2" w14:textId="77777777" w:rsidR="00874A89" w:rsidRDefault="00874A89" w:rsidP="00874A89">
      <w:pPr>
        <w:ind w:left="708"/>
        <w:jc w:val="center"/>
        <w:rPr>
          <w:b/>
          <w:bCs/>
          <w:highlight w:val="yellow"/>
        </w:rPr>
      </w:pPr>
    </w:p>
    <w:p w14:paraId="62B5146A" w14:textId="5F2A3B10" w:rsidR="00874A89" w:rsidRPr="002152B6" w:rsidRDefault="00874A89" w:rsidP="00874A89">
      <w:pPr>
        <w:ind w:left="708"/>
        <w:jc w:val="center"/>
        <w:rPr>
          <w:b/>
          <w:bCs/>
        </w:rPr>
      </w:pPr>
      <w:r w:rsidRPr="002152B6">
        <w:rPr>
          <w:b/>
          <w:bCs/>
          <w:highlight w:val="yellow"/>
        </w:rPr>
        <w:t>Firma electrónica</w:t>
      </w:r>
    </w:p>
    <w:p w14:paraId="6B0534B4" w14:textId="77777777" w:rsidR="00DA33E7" w:rsidRDefault="00DA33E7" w:rsidP="00591BED"/>
    <w:sectPr w:rsidR="00DA33E7" w:rsidSect="000051D0">
      <w:headerReference w:type="default" r:id="rId8"/>
      <w:pgSz w:w="11910" w:h="16840"/>
      <w:pgMar w:top="1440" w:right="1080" w:bottom="1440" w:left="1080" w:header="834" w:footer="11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EAFA9" w14:textId="77777777" w:rsidR="00E51CF1" w:rsidRDefault="00E51CF1" w:rsidP="00E51CF1">
      <w:pPr>
        <w:spacing w:after="0" w:line="240" w:lineRule="auto"/>
      </w:pPr>
      <w:r>
        <w:separator/>
      </w:r>
    </w:p>
  </w:endnote>
  <w:endnote w:type="continuationSeparator" w:id="0">
    <w:p w14:paraId="34056A8B" w14:textId="77777777" w:rsidR="00E51CF1" w:rsidRDefault="00E51CF1" w:rsidP="00E51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altName w:val="Bahnschrift"/>
    <w:panose1 w:val="020B0502040204020203"/>
    <w:charset w:val="00"/>
    <w:family w:val="swiss"/>
    <w:pitch w:val="variable"/>
    <w:sig w:usb0="A00002C7" w:usb1="00000002" w:usb2="00000000" w:usb3="00000000" w:csb0="0000019F" w:csb1="00000000"/>
  </w:font>
  <w:font w:name="Arim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DC8F" w14:textId="77777777" w:rsidR="00E51CF1" w:rsidRDefault="00E51CF1" w:rsidP="00E51CF1">
      <w:pPr>
        <w:spacing w:after="0" w:line="240" w:lineRule="auto"/>
      </w:pPr>
      <w:r>
        <w:separator/>
      </w:r>
    </w:p>
  </w:footnote>
  <w:footnote w:type="continuationSeparator" w:id="0">
    <w:p w14:paraId="0273C002" w14:textId="77777777" w:rsidR="00E51CF1" w:rsidRDefault="00E51CF1" w:rsidP="00E51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AFD5" w14:textId="3455AA0C" w:rsidR="00161B1B" w:rsidRDefault="00161B1B" w:rsidP="00161B1B">
    <w:pPr>
      <w:pStyle w:val="Header10"/>
      <w:spacing w:before="0"/>
    </w:pPr>
    <w:r>
      <w:rPr>
        <w:noProof/>
      </w:rPr>
      <w:drawing>
        <wp:anchor distT="0" distB="0" distL="114300" distR="114300" simplePos="0" relativeHeight="251659264" behindDoc="0" locked="0" layoutInCell="1" allowOverlap="1" wp14:anchorId="7604C2B6" wp14:editId="13260334">
          <wp:simplePos x="0" y="0"/>
          <wp:positionH relativeFrom="column">
            <wp:posOffset>3802380</wp:posOffset>
          </wp:positionH>
          <wp:positionV relativeFrom="paragraph">
            <wp:posOffset>53340</wp:posOffset>
          </wp:positionV>
          <wp:extent cx="1864360" cy="367030"/>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60" cy="367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FAEC976" wp14:editId="2E92EA0C">
          <wp:simplePos x="0" y="0"/>
          <wp:positionH relativeFrom="column">
            <wp:posOffset>43815</wp:posOffset>
          </wp:positionH>
          <wp:positionV relativeFrom="paragraph">
            <wp:posOffset>13335</wp:posOffset>
          </wp:positionV>
          <wp:extent cx="1234440" cy="357505"/>
          <wp:effectExtent l="0" t="0" r="3810" b="4445"/>
          <wp:wrapThrough wrapText="bothSides">
            <wp:wrapPolygon edited="0">
              <wp:start x="0" y="0"/>
              <wp:lineTo x="0" y="20718"/>
              <wp:lineTo x="21333" y="20718"/>
              <wp:lineTo x="213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4440" cy="35750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noProof/>
        <w:lang w:eastAsia="es-ES"/>
      </w:rPr>
      <w:drawing>
        <wp:inline distT="0" distB="0" distL="0" distR="0" wp14:anchorId="5F738BC2" wp14:editId="1419B174">
          <wp:extent cx="1504950" cy="352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r>
      <w:rPr>
        <w:noProof/>
        <w:color w:val="1F497D"/>
        <w:shd w:val="clear" w:color="auto" w:fill="E6E6E6"/>
        <w:lang w:eastAsia="es-ES"/>
      </w:rPr>
      <w:t xml:space="preserve"> </w:t>
    </w:r>
    <w:r>
      <w:rPr>
        <w:noProof/>
        <w:color w:val="1F497D"/>
        <w:shd w:val="clear" w:color="auto" w:fill="E6E6E6"/>
        <w:lang w:eastAsia="es-ES"/>
      </w:rPr>
      <w:drawing>
        <wp:inline distT="0" distB="0" distL="0" distR="0" wp14:anchorId="6EC56DC9" wp14:editId="4276EBED">
          <wp:extent cx="8382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038C69D2" w14:textId="77777777" w:rsidR="00161B1B" w:rsidRDefault="00161B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519"/>
    <w:multiLevelType w:val="hybridMultilevel"/>
    <w:tmpl w:val="3F1A1FE4"/>
    <w:lvl w:ilvl="0" w:tplc="E7822ACC">
      <w:numFmt w:val="bullet"/>
      <w:lvlText w:val="-"/>
      <w:lvlJc w:val="left"/>
      <w:pPr>
        <w:ind w:left="106" w:hanging="96"/>
      </w:pPr>
      <w:rPr>
        <w:rFonts w:ascii="Calibri" w:eastAsia="Calibri" w:hAnsi="Calibri" w:cs="Calibri" w:hint="default"/>
        <w:b w:val="0"/>
        <w:bCs w:val="0"/>
        <w:i w:val="0"/>
        <w:iCs w:val="0"/>
        <w:spacing w:val="0"/>
        <w:w w:val="100"/>
        <w:sz w:val="18"/>
        <w:szCs w:val="18"/>
        <w:lang w:val="es-ES" w:eastAsia="en-US" w:bidi="ar-SA"/>
      </w:rPr>
    </w:lvl>
    <w:lvl w:ilvl="1" w:tplc="1C5086E6">
      <w:numFmt w:val="bullet"/>
      <w:lvlText w:val="•"/>
      <w:lvlJc w:val="left"/>
      <w:pPr>
        <w:ind w:left="721" w:hanging="96"/>
      </w:pPr>
      <w:rPr>
        <w:rFonts w:hint="default"/>
        <w:lang w:val="es-ES" w:eastAsia="en-US" w:bidi="ar-SA"/>
      </w:rPr>
    </w:lvl>
    <w:lvl w:ilvl="2" w:tplc="9BEE5FE0">
      <w:numFmt w:val="bullet"/>
      <w:lvlText w:val="•"/>
      <w:lvlJc w:val="left"/>
      <w:pPr>
        <w:ind w:left="1342" w:hanging="96"/>
      </w:pPr>
      <w:rPr>
        <w:rFonts w:hint="default"/>
        <w:lang w:val="es-ES" w:eastAsia="en-US" w:bidi="ar-SA"/>
      </w:rPr>
    </w:lvl>
    <w:lvl w:ilvl="3" w:tplc="84F8BD0E">
      <w:numFmt w:val="bullet"/>
      <w:lvlText w:val="•"/>
      <w:lvlJc w:val="left"/>
      <w:pPr>
        <w:ind w:left="1964" w:hanging="96"/>
      </w:pPr>
      <w:rPr>
        <w:rFonts w:hint="default"/>
        <w:lang w:val="es-ES" w:eastAsia="en-US" w:bidi="ar-SA"/>
      </w:rPr>
    </w:lvl>
    <w:lvl w:ilvl="4" w:tplc="697E938C">
      <w:numFmt w:val="bullet"/>
      <w:lvlText w:val="•"/>
      <w:lvlJc w:val="left"/>
      <w:pPr>
        <w:ind w:left="2585" w:hanging="96"/>
      </w:pPr>
      <w:rPr>
        <w:rFonts w:hint="default"/>
        <w:lang w:val="es-ES" w:eastAsia="en-US" w:bidi="ar-SA"/>
      </w:rPr>
    </w:lvl>
    <w:lvl w:ilvl="5" w:tplc="E8BC2F04">
      <w:numFmt w:val="bullet"/>
      <w:lvlText w:val="•"/>
      <w:lvlJc w:val="left"/>
      <w:pPr>
        <w:ind w:left="3207" w:hanging="96"/>
      </w:pPr>
      <w:rPr>
        <w:rFonts w:hint="default"/>
        <w:lang w:val="es-ES" w:eastAsia="en-US" w:bidi="ar-SA"/>
      </w:rPr>
    </w:lvl>
    <w:lvl w:ilvl="6" w:tplc="21004B14">
      <w:numFmt w:val="bullet"/>
      <w:lvlText w:val="•"/>
      <w:lvlJc w:val="left"/>
      <w:pPr>
        <w:ind w:left="3828" w:hanging="96"/>
      </w:pPr>
      <w:rPr>
        <w:rFonts w:hint="default"/>
        <w:lang w:val="es-ES" w:eastAsia="en-US" w:bidi="ar-SA"/>
      </w:rPr>
    </w:lvl>
    <w:lvl w:ilvl="7" w:tplc="CFE04ED6">
      <w:numFmt w:val="bullet"/>
      <w:lvlText w:val="•"/>
      <w:lvlJc w:val="left"/>
      <w:pPr>
        <w:ind w:left="4449" w:hanging="96"/>
      </w:pPr>
      <w:rPr>
        <w:rFonts w:hint="default"/>
        <w:lang w:val="es-ES" w:eastAsia="en-US" w:bidi="ar-SA"/>
      </w:rPr>
    </w:lvl>
    <w:lvl w:ilvl="8" w:tplc="E1807B3C">
      <w:numFmt w:val="bullet"/>
      <w:lvlText w:val="•"/>
      <w:lvlJc w:val="left"/>
      <w:pPr>
        <w:ind w:left="5071" w:hanging="96"/>
      </w:pPr>
      <w:rPr>
        <w:rFonts w:hint="default"/>
        <w:lang w:val="es-ES" w:eastAsia="en-US" w:bidi="ar-SA"/>
      </w:rPr>
    </w:lvl>
  </w:abstractNum>
  <w:abstractNum w:abstractNumId="1" w15:restartNumberingAfterBreak="0">
    <w:nsid w:val="0DC869E0"/>
    <w:multiLevelType w:val="hybridMultilevel"/>
    <w:tmpl w:val="2C448D8A"/>
    <w:lvl w:ilvl="0" w:tplc="AA66ACA8">
      <w:start w:val="4"/>
      <w:numFmt w:val="bullet"/>
      <w:lvlText w:val=""/>
      <w:lvlJc w:val="left"/>
      <w:pPr>
        <w:ind w:left="720" w:hanging="360"/>
      </w:pPr>
      <w:rPr>
        <w:rFonts w:ascii="Wingdings" w:eastAsiaTheme="minorHAnsi" w:hAnsi="Wingding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D33517"/>
    <w:multiLevelType w:val="hybridMultilevel"/>
    <w:tmpl w:val="1D5E23CC"/>
    <w:lvl w:ilvl="0" w:tplc="09069AAC">
      <w:start w:val="4"/>
      <w:numFmt w:val="bullet"/>
      <w:lvlText w:val="-"/>
      <w:lvlJc w:val="left"/>
      <w:pPr>
        <w:ind w:left="1070" w:hanging="360"/>
      </w:pPr>
      <w:rPr>
        <w:rFonts w:ascii="Calibri" w:eastAsiaTheme="minorHAnsi" w:hAnsi="Calibri" w:cs="Calibri" w:hint="default"/>
        <w:color w:val="auto"/>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 w15:restartNumberingAfterBreak="0">
    <w:nsid w:val="395114A3"/>
    <w:multiLevelType w:val="hybridMultilevel"/>
    <w:tmpl w:val="D50CE234"/>
    <w:lvl w:ilvl="0" w:tplc="9D8ED1C4">
      <w:numFmt w:val="bullet"/>
      <w:lvlText w:val="-"/>
      <w:lvlJc w:val="left"/>
      <w:pPr>
        <w:ind w:left="106" w:hanging="219"/>
      </w:pPr>
      <w:rPr>
        <w:rFonts w:ascii="Bahnschrift" w:eastAsia="Bahnschrift" w:hAnsi="Bahnschrift" w:cs="Bahnschrift" w:hint="default"/>
        <w:b w:val="0"/>
        <w:bCs w:val="0"/>
        <w:i w:val="0"/>
        <w:iCs w:val="0"/>
        <w:spacing w:val="0"/>
        <w:w w:val="100"/>
        <w:sz w:val="18"/>
        <w:szCs w:val="18"/>
        <w:lang w:val="es-ES" w:eastAsia="en-US" w:bidi="ar-SA"/>
      </w:rPr>
    </w:lvl>
    <w:lvl w:ilvl="1" w:tplc="E922522A">
      <w:numFmt w:val="bullet"/>
      <w:lvlText w:val="•"/>
      <w:lvlJc w:val="left"/>
      <w:pPr>
        <w:ind w:left="721" w:hanging="219"/>
      </w:pPr>
      <w:rPr>
        <w:rFonts w:hint="default"/>
        <w:lang w:val="es-ES" w:eastAsia="en-US" w:bidi="ar-SA"/>
      </w:rPr>
    </w:lvl>
    <w:lvl w:ilvl="2" w:tplc="AF9CA5CC">
      <w:numFmt w:val="bullet"/>
      <w:lvlText w:val="•"/>
      <w:lvlJc w:val="left"/>
      <w:pPr>
        <w:ind w:left="1342" w:hanging="219"/>
      </w:pPr>
      <w:rPr>
        <w:rFonts w:hint="default"/>
        <w:lang w:val="es-ES" w:eastAsia="en-US" w:bidi="ar-SA"/>
      </w:rPr>
    </w:lvl>
    <w:lvl w:ilvl="3" w:tplc="FA7C176A">
      <w:numFmt w:val="bullet"/>
      <w:lvlText w:val="•"/>
      <w:lvlJc w:val="left"/>
      <w:pPr>
        <w:ind w:left="1964" w:hanging="219"/>
      </w:pPr>
      <w:rPr>
        <w:rFonts w:hint="default"/>
        <w:lang w:val="es-ES" w:eastAsia="en-US" w:bidi="ar-SA"/>
      </w:rPr>
    </w:lvl>
    <w:lvl w:ilvl="4" w:tplc="BA4CA438">
      <w:numFmt w:val="bullet"/>
      <w:lvlText w:val="•"/>
      <w:lvlJc w:val="left"/>
      <w:pPr>
        <w:ind w:left="2585" w:hanging="219"/>
      </w:pPr>
      <w:rPr>
        <w:rFonts w:hint="default"/>
        <w:lang w:val="es-ES" w:eastAsia="en-US" w:bidi="ar-SA"/>
      </w:rPr>
    </w:lvl>
    <w:lvl w:ilvl="5" w:tplc="A8E62924">
      <w:numFmt w:val="bullet"/>
      <w:lvlText w:val="•"/>
      <w:lvlJc w:val="left"/>
      <w:pPr>
        <w:ind w:left="3207" w:hanging="219"/>
      </w:pPr>
      <w:rPr>
        <w:rFonts w:hint="default"/>
        <w:lang w:val="es-ES" w:eastAsia="en-US" w:bidi="ar-SA"/>
      </w:rPr>
    </w:lvl>
    <w:lvl w:ilvl="6" w:tplc="CDFE11D0">
      <w:numFmt w:val="bullet"/>
      <w:lvlText w:val="•"/>
      <w:lvlJc w:val="left"/>
      <w:pPr>
        <w:ind w:left="3828" w:hanging="219"/>
      </w:pPr>
      <w:rPr>
        <w:rFonts w:hint="default"/>
        <w:lang w:val="es-ES" w:eastAsia="en-US" w:bidi="ar-SA"/>
      </w:rPr>
    </w:lvl>
    <w:lvl w:ilvl="7" w:tplc="CF7C50C6">
      <w:numFmt w:val="bullet"/>
      <w:lvlText w:val="•"/>
      <w:lvlJc w:val="left"/>
      <w:pPr>
        <w:ind w:left="4449" w:hanging="219"/>
      </w:pPr>
      <w:rPr>
        <w:rFonts w:hint="default"/>
        <w:lang w:val="es-ES" w:eastAsia="en-US" w:bidi="ar-SA"/>
      </w:rPr>
    </w:lvl>
    <w:lvl w:ilvl="8" w:tplc="38B002E6">
      <w:numFmt w:val="bullet"/>
      <w:lvlText w:val="•"/>
      <w:lvlJc w:val="left"/>
      <w:pPr>
        <w:ind w:left="5071" w:hanging="219"/>
      </w:pPr>
      <w:rPr>
        <w:rFonts w:hint="default"/>
        <w:lang w:val="es-ES" w:eastAsia="en-US" w:bidi="ar-SA"/>
      </w:rPr>
    </w:lvl>
  </w:abstractNum>
  <w:abstractNum w:abstractNumId="4" w15:restartNumberingAfterBreak="0">
    <w:nsid w:val="504943D8"/>
    <w:multiLevelType w:val="hybridMultilevel"/>
    <w:tmpl w:val="FB2C6FA4"/>
    <w:lvl w:ilvl="0" w:tplc="71487BC6">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D032AEAE">
      <w:numFmt w:val="bullet"/>
      <w:lvlText w:val="•"/>
      <w:lvlJc w:val="left"/>
      <w:pPr>
        <w:ind w:left="343" w:hanging="192"/>
      </w:pPr>
      <w:rPr>
        <w:rFonts w:hint="default"/>
        <w:lang w:val="es-ES" w:eastAsia="en-US" w:bidi="ar-SA"/>
      </w:rPr>
    </w:lvl>
    <w:lvl w:ilvl="2" w:tplc="BC70B0DC">
      <w:numFmt w:val="bullet"/>
      <w:lvlText w:val="•"/>
      <w:lvlJc w:val="left"/>
      <w:pPr>
        <w:ind w:left="587" w:hanging="192"/>
      </w:pPr>
      <w:rPr>
        <w:rFonts w:hint="default"/>
        <w:lang w:val="es-ES" w:eastAsia="en-US" w:bidi="ar-SA"/>
      </w:rPr>
    </w:lvl>
    <w:lvl w:ilvl="3" w:tplc="74A8E020">
      <w:numFmt w:val="bullet"/>
      <w:lvlText w:val="•"/>
      <w:lvlJc w:val="left"/>
      <w:pPr>
        <w:ind w:left="831" w:hanging="192"/>
      </w:pPr>
      <w:rPr>
        <w:rFonts w:hint="default"/>
        <w:lang w:val="es-ES" w:eastAsia="en-US" w:bidi="ar-SA"/>
      </w:rPr>
    </w:lvl>
    <w:lvl w:ilvl="4" w:tplc="EBB87A1A">
      <w:numFmt w:val="bullet"/>
      <w:lvlText w:val="•"/>
      <w:lvlJc w:val="left"/>
      <w:pPr>
        <w:ind w:left="1075" w:hanging="192"/>
      </w:pPr>
      <w:rPr>
        <w:rFonts w:hint="default"/>
        <w:lang w:val="es-ES" w:eastAsia="en-US" w:bidi="ar-SA"/>
      </w:rPr>
    </w:lvl>
    <w:lvl w:ilvl="5" w:tplc="BB008922">
      <w:numFmt w:val="bullet"/>
      <w:lvlText w:val="•"/>
      <w:lvlJc w:val="left"/>
      <w:pPr>
        <w:ind w:left="1319" w:hanging="192"/>
      </w:pPr>
      <w:rPr>
        <w:rFonts w:hint="default"/>
        <w:lang w:val="es-ES" w:eastAsia="en-US" w:bidi="ar-SA"/>
      </w:rPr>
    </w:lvl>
    <w:lvl w:ilvl="6" w:tplc="7AA20A3C">
      <w:numFmt w:val="bullet"/>
      <w:lvlText w:val="•"/>
      <w:lvlJc w:val="left"/>
      <w:pPr>
        <w:ind w:left="1563" w:hanging="192"/>
      </w:pPr>
      <w:rPr>
        <w:rFonts w:hint="default"/>
        <w:lang w:val="es-ES" w:eastAsia="en-US" w:bidi="ar-SA"/>
      </w:rPr>
    </w:lvl>
    <w:lvl w:ilvl="7" w:tplc="ED9C0450">
      <w:numFmt w:val="bullet"/>
      <w:lvlText w:val="•"/>
      <w:lvlJc w:val="left"/>
      <w:pPr>
        <w:ind w:left="1807" w:hanging="192"/>
      </w:pPr>
      <w:rPr>
        <w:rFonts w:hint="default"/>
        <w:lang w:val="es-ES" w:eastAsia="en-US" w:bidi="ar-SA"/>
      </w:rPr>
    </w:lvl>
    <w:lvl w:ilvl="8" w:tplc="BF584B6A">
      <w:numFmt w:val="bullet"/>
      <w:lvlText w:val="•"/>
      <w:lvlJc w:val="left"/>
      <w:pPr>
        <w:ind w:left="2051" w:hanging="192"/>
      </w:pPr>
      <w:rPr>
        <w:rFonts w:hint="default"/>
        <w:lang w:val="es-ES" w:eastAsia="en-US" w:bidi="ar-SA"/>
      </w:rPr>
    </w:lvl>
  </w:abstractNum>
  <w:abstractNum w:abstractNumId="5" w15:restartNumberingAfterBreak="0">
    <w:nsid w:val="57CF712F"/>
    <w:multiLevelType w:val="hybridMultilevel"/>
    <w:tmpl w:val="C6A417BC"/>
    <w:lvl w:ilvl="0" w:tplc="004EF940">
      <w:start w:val="1"/>
      <w:numFmt w:val="lowerRoman"/>
      <w:lvlText w:val="(%1)"/>
      <w:lvlJc w:val="left"/>
      <w:pPr>
        <w:ind w:left="107" w:hanging="274"/>
        <w:jc w:val="left"/>
      </w:pPr>
      <w:rPr>
        <w:rFonts w:ascii="Calibri" w:eastAsia="Calibri" w:hAnsi="Calibri" w:cs="Calibri" w:hint="default"/>
        <w:b w:val="0"/>
        <w:bCs w:val="0"/>
        <w:i w:val="0"/>
        <w:iCs w:val="0"/>
        <w:spacing w:val="-1"/>
        <w:w w:val="100"/>
        <w:sz w:val="18"/>
        <w:szCs w:val="18"/>
        <w:lang w:val="es-ES" w:eastAsia="en-US" w:bidi="ar-SA"/>
      </w:rPr>
    </w:lvl>
    <w:lvl w:ilvl="1" w:tplc="C036874C">
      <w:numFmt w:val="bullet"/>
      <w:lvlText w:val="•"/>
      <w:lvlJc w:val="left"/>
      <w:pPr>
        <w:ind w:left="343" w:hanging="274"/>
      </w:pPr>
      <w:rPr>
        <w:rFonts w:hint="default"/>
        <w:lang w:val="es-ES" w:eastAsia="en-US" w:bidi="ar-SA"/>
      </w:rPr>
    </w:lvl>
    <w:lvl w:ilvl="2" w:tplc="E020B520">
      <w:numFmt w:val="bullet"/>
      <w:lvlText w:val="•"/>
      <w:lvlJc w:val="left"/>
      <w:pPr>
        <w:ind w:left="587" w:hanging="274"/>
      </w:pPr>
      <w:rPr>
        <w:rFonts w:hint="default"/>
        <w:lang w:val="es-ES" w:eastAsia="en-US" w:bidi="ar-SA"/>
      </w:rPr>
    </w:lvl>
    <w:lvl w:ilvl="3" w:tplc="091A8934">
      <w:numFmt w:val="bullet"/>
      <w:lvlText w:val="•"/>
      <w:lvlJc w:val="left"/>
      <w:pPr>
        <w:ind w:left="831" w:hanging="274"/>
      </w:pPr>
      <w:rPr>
        <w:rFonts w:hint="default"/>
        <w:lang w:val="es-ES" w:eastAsia="en-US" w:bidi="ar-SA"/>
      </w:rPr>
    </w:lvl>
    <w:lvl w:ilvl="4" w:tplc="0D862DE8">
      <w:numFmt w:val="bullet"/>
      <w:lvlText w:val="•"/>
      <w:lvlJc w:val="left"/>
      <w:pPr>
        <w:ind w:left="1075" w:hanging="274"/>
      </w:pPr>
      <w:rPr>
        <w:rFonts w:hint="default"/>
        <w:lang w:val="es-ES" w:eastAsia="en-US" w:bidi="ar-SA"/>
      </w:rPr>
    </w:lvl>
    <w:lvl w:ilvl="5" w:tplc="62E20078">
      <w:numFmt w:val="bullet"/>
      <w:lvlText w:val="•"/>
      <w:lvlJc w:val="left"/>
      <w:pPr>
        <w:ind w:left="1319" w:hanging="274"/>
      </w:pPr>
      <w:rPr>
        <w:rFonts w:hint="default"/>
        <w:lang w:val="es-ES" w:eastAsia="en-US" w:bidi="ar-SA"/>
      </w:rPr>
    </w:lvl>
    <w:lvl w:ilvl="6" w:tplc="75C8D43C">
      <w:numFmt w:val="bullet"/>
      <w:lvlText w:val="•"/>
      <w:lvlJc w:val="left"/>
      <w:pPr>
        <w:ind w:left="1563" w:hanging="274"/>
      </w:pPr>
      <w:rPr>
        <w:rFonts w:hint="default"/>
        <w:lang w:val="es-ES" w:eastAsia="en-US" w:bidi="ar-SA"/>
      </w:rPr>
    </w:lvl>
    <w:lvl w:ilvl="7" w:tplc="84148236">
      <w:numFmt w:val="bullet"/>
      <w:lvlText w:val="•"/>
      <w:lvlJc w:val="left"/>
      <w:pPr>
        <w:ind w:left="1807" w:hanging="274"/>
      </w:pPr>
      <w:rPr>
        <w:rFonts w:hint="default"/>
        <w:lang w:val="es-ES" w:eastAsia="en-US" w:bidi="ar-SA"/>
      </w:rPr>
    </w:lvl>
    <w:lvl w:ilvl="8" w:tplc="F5B60312">
      <w:numFmt w:val="bullet"/>
      <w:lvlText w:val="•"/>
      <w:lvlJc w:val="left"/>
      <w:pPr>
        <w:ind w:left="2051" w:hanging="274"/>
      </w:pPr>
      <w:rPr>
        <w:rFonts w:hint="default"/>
        <w:lang w:val="es-ES" w:eastAsia="en-US" w:bidi="ar-SA"/>
      </w:rPr>
    </w:lvl>
  </w:abstractNum>
  <w:abstractNum w:abstractNumId="6" w15:restartNumberingAfterBreak="0">
    <w:nsid w:val="5ACC0D7B"/>
    <w:multiLevelType w:val="hybridMultilevel"/>
    <w:tmpl w:val="B9A47866"/>
    <w:lvl w:ilvl="0" w:tplc="7B1C6C38">
      <w:start w:val="1"/>
      <w:numFmt w:val="lowerRoman"/>
      <w:lvlText w:val="(%1)"/>
      <w:lvlJc w:val="left"/>
      <w:pPr>
        <w:ind w:left="107" w:hanging="192"/>
        <w:jc w:val="left"/>
      </w:pPr>
      <w:rPr>
        <w:rFonts w:ascii="Calibri" w:eastAsia="Calibri" w:hAnsi="Calibri" w:cs="Calibri" w:hint="default"/>
        <w:b w:val="0"/>
        <w:bCs w:val="0"/>
        <w:i w:val="0"/>
        <w:iCs w:val="0"/>
        <w:spacing w:val="-1"/>
        <w:w w:val="100"/>
        <w:sz w:val="18"/>
        <w:szCs w:val="18"/>
        <w:lang w:val="es-ES" w:eastAsia="en-US" w:bidi="ar-SA"/>
      </w:rPr>
    </w:lvl>
    <w:lvl w:ilvl="1" w:tplc="0B9A5616">
      <w:numFmt w:val="bullet"/>
      <w:lvlText w:val="•"/>
      <w:lvlJc w:val="left"/>
      <w:pPr>
        <w:ind w:left="343" w:hanging="192"/>
      </w:pPr>
      <w:rPr>
        <w:rFonts w:hint="default"/>
        <w:lang w:val="es-ES" w:eastAsia="en-US" w:bidi="ar-SA"/>
      </w:rPr>
    </w:lvl>
    <w:lvl w:ilvl="2" w:tplc="FB56D5CC">
      <w:numFmt w:val="bullet"/>
      <w:lvlText w:val="•"/>
      <w:lvlJc w:val="left"/>
      <w:pPr>
        <w:ind w:left="587" w:hanging="192"/>
      </w:pPr>
      <w:rPr>
        <w:rFonts w:hint="default"/>
        <w:lang w:val="es-ES" w:eastAsia="en-US" w:bidi="ar-SA"/>
      </w:rPr>
    </w:lvl>
    <w:lvl w:ilvl="3" w:tplc="7C508218">
      <w:numFmt w:val="bullet"/>
      <w:lvlText w:val="•"/>
      <w:lvlJc w:val="left"/>
      <w:pPr>
        <w:ind w:left="831" w:hanging="192"/>
      </w:pPr>
      <w:rPr>
        <w:rFonts w:hint="default"/>
        <w:lang w:val="es-ES" w:eastAsia="en-US" w:bidi="ar-SA"/>
      </w:rPr>
    </w:lvl>
    <w:lvl w:ilvl="4" w:tplc="64849ACA">
      <w:numFmt w:val="bullet"/>
      <w:lvlText w:val="•"/>
      <w:lvlJc w:val="left"/>
      <w:pPr>
        <w:ind w:left="1075" w:hanging="192"/>
      </w:pPr>
      <w:rPr>
        <w:rFonts w:hint="default"/>
        <w:lang w:val="es-ES" w:eastAsia="en-US" w:bidi="ar-SA"/>
      </w:rPr>
    </w:lvl>
    <w:lvl w:ilvl="5" w:tplc="E7CE7A46">
      <w:numFmt w:val="bullet"/>
      <w:lvlText w:val="•"/>
      <w:lvlJc w:val="left"/>
      <w:pPr>
        <w:ind w:left="1319" w:hanging="192"/>
      </w:pPr>
      <w:rPr>
        <w:rFonts w:hint="default"/>
        <w:lang w:val="es-ES" w:eastAsia="en-US" w:bidi="ar-SA"/>
      </w:rPr>
    </w:lvl>
    <w:lvl w:ilvl="6" w:tplc="6B586886">
      <w:numFmt w:val="bullet"/>
      <w:lvlText w:val="•"/>
      <w:lvlJc w:val="left"/>
      <w:pPr>
        <w:ind w:left="1563" w:hanging="192"/>
      </w:pPr>
      <w:rPr>
        <w:rFonts w:hint="default"/>
        <w:lang w:val="es-ES" w:eastAsia="en-US" w:bidi="ar-SA"/>
      </w:rPr>
    </w:lvl>
    <w:lvl w:ilvl="7" w:tplc="44362C9C">
      <w:numFmt w:val="bullet"/>
      <w:lvlText w:val="•"/>
      <w:lvlJc w:val="left"/>
      <w:pPr>
        <w:ind w:left="1807" w:hanging="192"/>
      </w:pPr>
      <w:rPr>
        <w:rFonts w:hint="default"/>
        <w:lang w:val="es-ES" w:eastAsia="en-US" w:bidi="ar-SA"/>
      </w:rPr>
    </w:lvl>
    <w:lvl w:ilvl="8" w:tplc="E1727BE0">
      <w:numFmt w:val="bullet"/>
      <w:lvlText w:val="•"/>
      <w:lvlJc w:val="left"/>
      <w:pPr>
        <w:ind w:left="2051" w:hanging="192"/>
      </w:pPr>
      <w:rPr>
        <w:rFonts w:hint="default"/>
        <w:lang w:val="es-ES" w:eastAsia="en-US" w:bidi="ar-SA"/>
      </w:rPr>
    </w:lvl>
  </w:abstractNum>
  <w:num w:numId="1" w16cid:durableId="1544174712">
    <w:abstractNumId w:val="1"/>
  </w:num>
  <w:num w:numId="2" w16cid:durableId="793250461">
    <w:abstractNumId w:val="2"/>
  </w:num>
  <w:num w:numId="3" w16cid:durableId="1537356390">
    <w:abstractNumId w:val="3"/>
  </w:num>
  <w:num w:numId="4" w16cid:durableId="230510839">
    <w:abstractNumId w:val="4"/>
  </w:num>
  <w:num w:numId="5" w16cid:durableId="470100689">
    <w:abstractNumId w:val="6"/>
  </w:num>
  <w:num w:numId="6" w16cid:durableId="1729496527">
    <w:abstractNumId w:val="5"/>
  </w:num>
  <w:num w:numId="7" w16cid:durableId="64693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4DE"/>
    <w:rsid w:val="000051D0"/>
    <w:rsid w:val="000131E1"/>
    <w:rsid w:val="00064045"/>
    <w:rsid w:val="001331B7"/>
    <w:rsid w:val="00161B1B"/>
    <w:rsid w:val="001A4255"/>
    <w:rsid w:val="001A6CD3"/>
    <w:rsid w:val="00205935"/>
    <w:rsid w:val="002415C9"/>
    <w:rsid w:val="00283F2D"/>
    <w:rsid w:val="002C365C"/>
    <w:rsid w:val="0033179E"/>
    <w:rsid w:val="00367AA3"/>
    <w:rsid w:val="0038724F"/>
    <w:rsid w:val="003C4093"/>
    <w:rsid w:val="003F16A3"/>
    <w:rsid w:val="003F511F"/>
    <w:rsid w:val="00457F51"/>
    <w:rsid w:val="004B23EF"/>
    <w:rsid w:val="004E6C90"/>
    <w:rsid w:val="00591BED"/>
    <w:rsid w:val="005C5127"/>
    <w:rsid w:val="006309AE"/>
    <w:rsid w:val="00631435"/>
    <w:rsid w:val="006844FD"/>
    <w:rsid w:val="006859C6"/>
    <w:rsid w:val="007D5953"/>
    <w:rsid w:val="00874A89"/>
    <w:rsid w:val="0091381C"/>
    <w:rsid w:val="009713D8"/>
    <w:rsid w:val="00991C2B"/>
    <w:rsid w:val="00A355FC"/>
    <w:rsid w:val="00A92F8E"/>
    <w:rsid w:val="00AA7984"/>
    <w:rsid w:val="00B06149"/>
    <w:rsid w:val="00BB1816"/>
    <w:rsid w:val="00C15A94"/>
    <w:rsid w:val="00C309D4"/>
    <w:rsid w:val="00C628BD"/>
    <w:rsid w:val="00C8282E"/>
    <w:rsid w:val="00CA4A93"/>
    <w:rsid w:val="00CC2B3C"/>
    <w:rsid w:val="00CC64DE"/>
    <w:rsid w:val="00D0748E"/>
    <w:rsid w:val="00D41823"/>
    <w:rsid w:val="00D5302A"/>
    <w:rsid w:val="00DA33E7"/>
    <w:rsid w:val="00E50EF1"/>
    <w:rsid w:val="00E51CF1"/>
    <w:rsid w:val="00E60286"/>
    <w:rsid w:val="00F01B8F"/>
    <w:rsid w:val="00F03042"/>
    <w:rsid w:val="00F349A2"/>
    <w:rsid w:val="00F452B7"/>
    <w:rsid w:val="00FB798A"/>
    <w:rsid w:val="00FD60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17AFF24"/>
  <w15:chartTrackingRefBased/>
  <w15:docId w15:val="{4F5D3D09-18B6-437B-A5D0-2951EE5E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15C9"/>
    <w:pPr>
      <w:ind w:left="720"/>
      <w:contextualSpacing/>
    </w:pPr>
  </w:style>
  <w:style w:type="character" w:styleId="Hipervnculo">
    <w:name w:val="Hyperlink"/>
    <w:basedOn w:val="Fuentedeprrafopredeter"/>
    <w:uiPriority w:val="99"/>
    <w:unhideWhenUsed/>
    <w:rsid w:val="00C8282E"/>
    <w:rPr>
      <w:color w:val="0000FF"/>
      <w:u w:val="single"/>
    </w:rPr>
  </w:style>
  <w:style w:type="table" w:customStyle="1" w:styleId="TableNormal">
    <w:name w:val="Table Normal"/>
    <w:uiPriority w:val="2"/>
    <w:semiHidden/>
    <w:unhideWhenUsed/>
    <w:qFormat/>
    <w:rsid w:val="002059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05935"/>
    <w:pPr>
      <w:widowControl w:val="0"/>
      <w:autoSpaceDE w:val="0"/>
      <w:autoSpaceDN w:val="0"/>
      <w:spacing w:after="0" w:line="240" w:lineRule="auto"/>
    </w:pPr>
    <w:rPr>
      <w:rFonts w:ascii="Calibri" w:eastAsia="Calibri" w:hAnsi="Calibri" w:cs="Calibri"/>
      <w:sz w:val="24"/>
      <w:szCs w:val="24"/>
    </w:rPr>
  </w:style>
  <w:style w:type="character" w:customStyle="1" w:styleId="TextoindependienteCar">
    <w:name w:val="Texto independiente Car"/>
    <w:basedOn w:val="Fuentedeprrafopredeter"/>
    <w:link w:val="Textoindependiente"/>
    <w:uiPriority w:val="1"/>
    <w:rsid w:val="00205935"/>
    <w:rPr>
      <w:rFonts w:ascii="Calibri" w:eastAsia="Calibri" w:hAnsi="Calibri" w:cs="Calibri"/>
      <w:sz w:val="24"/>
      <w:szCs w:val="24"/>
    </w:rPr>
  </w:style>
  <w:style w:type="paragraph" w:customStyle="1" w:styleId="TableParagraph">
    <w:name w:val="Table Paragraph"/>
    <w:basedOn w:val="Normal"/>
    <w:uiPriority w:val="1"/>
    <w:qFormat/>
    <w:rsid w:val="00205935"/>
    <w:pPr>
      <w:widowControl w:val="0"/>
      <w:autoSpaceDE w:val="0"/>
      <w:autoSpaceDN w:val="0"/>
      <w:spacing w:after="0" w:line="240" w:lineRule="auto"/>
    </w:pPr>
    <w:rPr>
      <w:rFonts w:ascii="Calibri" w:eastAsia="Calibri" w:hAnsi="Calibri" w:cs="Calibri"/>
    </w:rPr>
  </w:style>
  <w:style w:type="character" w:styleId="Mencinsinresolver">
    <w:name w:val="Unresolved Mention"/>
    <w:basedOn w:val="Fuentedeprrafopredeter"/>
    <w:uiPriority w:val="99"/>
    <w:semiHidden/>
    <w:unhideWhenUsed/>
    <w:rsid w:val="00064045"/>
    <w:rPr>
      <w:color w:val="605E5C"/>
      <w:shd w:val="clear" w:color="auto" w:fill="E1DFDD"/>
    </w:rPr>
  </w:style>
  <w:style w:type="paragraph" w:styleId="Encabezado">
    <w:name w:val="header"/>
    <w:basedOn w:val="Normal"/>
    <w:link w:val="EncabezadoCar"/>
    <w:uiPriority w:val="99"/>
    <w:unhideWhenUsed/>
    <w:rsid w:val="00E51C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1CF1"/>
  </w:style>
  <w:style w:type="paragraph" w:styleId="Piedepgina">
    <w:name w:val="footer"/>
    <w:basedOn w:val="Normal"/>
    <w:link w:val="PiedepginaCar"/>
    <w:uiPriority w:val="99"/>
    <w:unhideWhenUsed/>
    <w:rsid w:val="00E51C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1CF1"/>
  </w:style>
  <w:style w:type="character" w:styleId="Hipervnculovisitado">
    <w:name w:val="FollowedHyperlink"/>
    <w:basedOn w:val="Fuentedeprrafopredeter"/>
    <w:uiPriority w:val="99"/>
    <w:semiHidden/>
    <w:unhideWhenUsed/>
    <w:rsid w:val="00FB798A"/>
    <w:rPr>
      <w:color w:val="954F72" w:themeColor="followedHyperlink"/>
      <w:u w:val="single"/>
    </w:rPr>
  </w:style>
  <w:style w:type="table" w:styleId="Tablaconcuadrcula">
    <w:name w:val="Table Grid"/>
    <w:basedOn w:val="Tablanormal"/>
    <w:uiPriority w:val="39"/>
    <w:rsid w:val="00F3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49A2"/>
    <w:pPr>
      <w:autoSpaceDE w:val="0"/>
      <w:autoSpaceDN w:val="0"/>
      <w:adjustRightInd w:val="0"/>
      <w:spacing w:after="0" w:line="240" w:lineRule="auto"/>
    </w:pPr>
    <w:rPr>
      <w:rFonts w:ascii="Arimo" w:hAnsi="Arimo" w:cs="Arimo"/>
      <w:color w:val="000000"/>
      <w:sz w:val="24"/>
      <w:szCs w:val="24"/>
    </w:rPr>
  </w:style>
  <w:style w:type="character" w:customStyle="1" w:styleId="HeaderChar">
    <w:name w:val="Header Char"/>
    <w:basedOn w:val="Fuentedeprrafopredeter"/>
    <w:link w:val="Header10"/>
    <w:uiPriority w:val="99"/>
    <w:locked/>
    <w:rsid w:val="00161B1B"/>
    <w:rPr>
      <w:rFonts w:ascii="Calibri" w:hAnsi="Calibri" w:cs="Arial"/>
      <w:szCs w:val="19"/>
    </w:rPr>
  </w:style>
  <w:style w:type="paragraph" w:customStyle="1" w:styleId="Header10">
    <w:name w:val="Header10"/>
    <w:basedOn w:val="Normal"/>
    <w:link w:val="HeaderChar"/>
    <w:uiPriority w:val="99"/>
    <w:rsid w:val="00161B1B"/>
    <w:pPr>
      <w:tabs>
        <w:tab w:val="center" w:pos="4252"/>
        <w:tab w:val="right" w:pos="8504"/>
      </w:tabs>
      <w:spacing w:before="60" w:after="60" w:line="240" w:lineRule="auto"/>
      <w:jc w:val="both"/>
    </w:pPr>
    <w:rPr>
      <w:rFonts w:ascii="Calibri" w:hAnsi="Calibri" w:cs="Ari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0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boe.es/boe/dias/2023/06/26/pdfs/BOE-A-2023-14994.pdf"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29234C5358C5C4DB32B383ABF25D9CF" ma:contentTypeVersion="1" ma:contentTypeDescription="Crear nuevo documento." ma:contentTypeScope="" ma:versionID="cd3231c5f4c2e5b0c174ffa6da315723">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6171AD-F7C3-451C-8403-FB0589A87F4E}"/>
</file>

<file path=customXml/itemProps2.xml><?xml version="1.0" encoding="utf-8"?>
<ds:datastoreItem xmlns:ds="http://schemas.openxmlformats.org/officeDocument/2006/customXml" ds:itemID="{75B383AB-974F-4A33-AA2E-F4E00FD836FB}"/>
</file>

<file path=customXml/itemProps3.xml><?xml version="1.0" encoding="utf-8"?>
<ds:datastoreItem xmlns:ds="http://schemas.openxmlformats.org/officeDocument/2006/customXml" ds:itemID="{3A950BCB-DED5-4D94-A29D-809DA7B97B87}"/>
</file>

<file path=docProps/app.xml><?xml version="1.0" encoding="utf-8"?>
<Properties xmlns="http://schemas.openxmlformats.org/officeDocument/2006/extended-properties" xmlns:vt="http://schemas.openxmlformats.org/officeDocument/2006/docPropsVTypes">
  <Template>Normal.dotm</Template>
  <TotalTime>110</TotalTime>
  <Pages>3</Pages>
  <Words>1005</Words>
  <Characters>5533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López Sánchez, Francisco Javier</dc:creator>
  <cp:keywords/>
  <dc:description/>
  <cp:lastModifiedBy>Peñaranda Marques, Jose Antonio</cp:lastModifiedBy>
  <cp:revision>13</cp:revision>
  <dcterms:created xsi:type="dcterms:W3CDTF">2023-11-15T13:08:00Z</dcterms:created>
  <dcterms:modified xsi:type="dcterms:W3CDTF">2025-06-12T08:45:00Z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0x010100429234C5358C5C4DB32B383ABF25D9CF</vt:lpwstr>
  </property>
</Properties>
</file>