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872"/>
        <w:gridCol w:w="6868"/>
      </w:tblGrid>
      <w:tr w:rsidR="006B462D" w14:paraId="03BA1C98" w14:textId="77777777" w:rsidTr="000239E1">
        <w:tc>
          <w:tcPr>
            <w:tcW w:w="9740" w:type="dxa"/>
            <w:gridSpan w:val="2"/>
          </w:tcPr>
          <w:p w14:paraId="7155CD83" w14:textId="77777777" w:rsidR="006B462D" w:rsidRDefault="006B462D"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w:t>
            </w:r>
            <w:proofErr w:type="spellStart"/>
            <w:r>
              <w:rPr>
                <w:b/>
                <w:bCs/>
                <w:sz w:val="28"/>
                <w:szCs w:val="28"/>
              </w:rPr>
              <w:t>Significant</w:t>
            </w:r>
            <w:proofErr w:type="spellEnd"/>
            <w:r>
              <w:rPr>
                <w:b/>
                <w:bCs/>
                <w:sz w:val="28"/>
                <w:szCs w:val="28"/>
              </w:rPr>
              <w:t xml:space="preserve"> </w:t>
            </w:r>
            <w:proofErr w:type="spellStart"/>
            <w:r>
              <w:rPr>
                <w:b/>
                <w:bCs/>
                <w:sz w:val="28"/>
                <w:szCs w:val="28"/>
              </w:rPr>
              <w:t>Harm</w:t>
            </w:r>
            <w:proofErr w:type="spellEnd"/>
            <w:r>
              <w:rPr>
                <w:b/>
                <w:bCs/>
                <w:sz w:val="28"/>
                <w:szCs w:val="28"/>
              </w:rPr>
              <w:t>)</w:t>
            </w:r>
          </w:p>
        </w:tc>
      </w:tr>
      <w:tr w:rsidR="006B462D" w:rsidRPr="00731677" w14:paraId="247D4853" w14:textId="77777777" w:rsidTr="000239E1">
        <w:tc>
          <w:tcPr>
            <w:tcW w:w="2872" w:type="dxa"/>
          </w:tcPr>
          <w:p w14:paraId="15E7AC64" w14:textId="77777777" w:rsidR="006B462D" w:rsidRPr="00731677" w:rsidRDefault="006B462D" w:rsidP="000239E1">
            <w:pPr>
              <w:jc w:val="both"/>
              <w:rPr>
                <w:b/>
                <w:bCs/>
                <w:sz w:val="24"/>
                <w:szCs w:val="24"/>
              </w:rPr>
            </w:pPr>
            <w:r w:rsidRPr="00731677">
              <w:rPr>
                <w:b/>
                <w:bCs/>
                <w:sz w:val="24"/>
                <w:szCs w:val="24"/>
              </w:rPr>
              <w:t>Convocatoria</w:t>
            </w:r>
          </w:p>
        </w:tc>
        <w:tc>
          <w:tcPr>
            <w:tcW w:w="6868" w:type="dxa"/>
          </w:tcPr>
          <w:p w14:paraId="73CD4281" w14:textId="01D3E1B1" w:rsidR="006B462D" w:rsidRPr="00731677" w:rsidRDefault="00C03650" w:rsidP="006B462D">
            <w:pPr>
              <w:rPr>
                <w:b/>
                <w:bCs/>
                <w:sz w:val="24"/>
                <w:szCs w:val="24"/>
              </w:rPr>
            </w:pPr>
            <w:r>
              <w:rPr>
                <w:sz w:val="24"/>
                <w:szCs w:val="24"/>
              </w:rPr>
              <w:t>UNICO IPCEI</w:t>
            </w:r>
          </w:p>
        </w:tc>
      </w:tr>
      <w:tr w:rsidR="006B462D" w14:paraId="06D24B93" w14:textId="77777777" w:rsidTr="000239E1">
        <w:tc>
          <w:tcPr>
            <w:tcW w:w="2872" w:type="dxa"/>
          </w:tcPr>
          <w:p w14:paraId="754C5C8F" w14:textId="77777777" w:rsidR="006B462D" w:rsidRDefault="006B462D" w:rsidP="000239E1">
            <w:pPr>
              <w:jc w:val="both"/>
              <w:rPr>
                <w:b/>
                <w:bCs/>
                <w:sz w:val="24"/>
                <w:szCs w:val="24"/>
              </w:rPr>
            </w:pPr>
            <w:r>
              <w:rPr>
                <w:b/>
                <w:bCs/>
                <w:sz w:val="24"/>
                <w:szCs w:val="24"/>
              </w:rPr>
              <w:t>Instrumento jurídico</w:t>
            </w:r>
          </w:p>
        </w:tc>
        <w:tc>
          <w:tcPr>
            <w:tcW w:w="6868" w:type="dxa"/>
          </w:tcPr>
          <w:p w14:paraId="2EDA4693" w14:textId="690B2BEB" w:rsidR="006B462D" w:rsidRPr="00740E9B" w:rsidRDefault="002B3EBF" w:rsidP="006B462D">
            <w:pPr>
              <w:jc w:val="both"/>
              <w:rPr>
                <w:sz w:val="24"/>
                <w:szCs w:val="24"/>
              </w:rPr>
            </w:pPr>
            <w:r w:rsidRPr="002B3EBF">
              <w:rPr>
                <w:sz w:val="24"/>
                <w:szCs w:val="24"/>
              </w:rPr>
              <w:t xml:space="preserve">Orden ETD/1236/2023, de 14 de noviembre, por la que se establecen las bases reguladoras para la concesión de ayudas a los participantes en proyectos importantes de interés común europeo (IPCEI) y primera convocatoria, en el marco del Plan de Recuperación, Transformación y Resiliencia -financiado por la Unión Europea- Next </w:t>
            </w:r>
            <w:proofErr w:type="spellStart"/>
            <w:r w:rsidRPr="002B3EBF">
              <w:rPr>
                <w:sz w:val="24"/>
                <w:szCs w:val="24"/>
              </w:rPr>
              <w:t>Generation</w:t>
            </w:r>
            <w:proofErr w:type="spellEnd"/>
            <w:r w:rsidRPr="002B3EBF">
              <w:rPr>
                <w:sz w:val="24"/>
                <w:szCs w:val="24"/>
              </w:rPr>
              <w:t xml:space="preserve"> EU.</w:t>
            </w:r>
          </w:p>
        </w:tc>
      </w:tr>
      <w:tr w:rsidR="006B462D" w14:paraId="5CAFDDE0" w14:textId="77777777" w:rsidTr="000239E1">
        <w:tc>
          <w:tcPr>
            <w:tcW w:w="2872" w:type="dxa"/>
          </w:tcPr>
          <w:p w14:paraId="4CA9F588" w14:textId="77777777" w:rsidR="006B462D" w:rsidRDefault="006B462D" w:rsidP="000239E1">
            <w:pPr>
              <w:jc w:val="both"/>
              <w:rPr>
                <w:b/>
                <w:bCs/>
                <w:sz w:val="24"/>
                <w:szCs w:val="24"/>
              </w:rPr>
            </w:pPr>
            <w:r>
              <w:rPr>
                <w:b/>
                <w:bCs/>
                <w:sz w:val="24"/>
                <w:szCs w:val="24"/>
              </w:rPr>
              <w:t>Condiciones específicas en relación con el principio de DNSH</w:t>
            </w:r>
          </w:p>
        </w:tc>
        <w:tc>
          <w:tcPr>
            <w:tcW w:w="6868" w:type="dxa"/>
          </w:tcPr>
          <w:p w14:paraId="2F3D45EA" w14:textId="5D7060A2" w:rsidR="006B462D" w:rsidRPr="006B462D" w:rsidRDefault="006B462D" w:rsidP="000239E1">
            <w:pPr>
              <w:jc w:val="both"/>
              <w:rPr>
                <w:sz w:val="24"/>
                <w:szCs w:val="24"/>
              </w:rPr>
            </w:pPr>
            <w:r w:rsidRPr="006B462D">
              <w:rPr>
                <w:sz w:val="24"/>
                <w:szCs w:val="24"/>
              </w:rPr>
              <w:t xml:space="preserve">Anexo </w:t>
            </w:r>
            <w:r w:rsidR="002B3EBF">
              <w:rPr>
                <w:sz w:val="24"/>
                <w:szCs w:val="24"/>
              </w:rPr>
              <w:t>III</w:t>
            </w:r>
            <w:r w:rsidRPr="006B462D">
              <w:rPr>
                <w:sz w:val="24"/>
                <w:szCs w:val="24"/>
              </w:rPr>
              <w:t xml:space="preserve"> del instrumento jurídico</w:t>
            </w:r>
          </w:p>
        </w:tc>
      </w:tr>
      <w:tr w:rsidR="006B462D" w14:paraId="3AFC5DBC" w14:textId="77777777" w:rsidTr="000239E1">
        <w:tc>
          <w:tcPr>
            <w:tcW w:w="2872" w:type="dxa"/>
          </w:tcPr>
          <w:p w14:paraId="61DFB93C" w14:textId="77777777" w:rsidR="006B462D" w:rsidRDefault="006B462D" w:rsidP="000239E1">
            <w:pPr>
              <w:jc w:val="both"/>
              <w:rPr>
                <w:b/>
                <w:bCs/>
                <w:sz w:val="24"/>
                <w:szCs w:val="24"/>
              </w:rPr>
            </w:pPr>
            <w:r>
              <w:rPr>
                <w:b/>
                <w:bCs/>
                <w:sz w:val="24"/>
                <w:szCs w:val="24"/>
              </w:rPr>
              <w:t>Beneficiario</w:t>
            </w:r>
          </w:p>
        </w:tc>
        <w:tc>
          <w:tcPr>
            <w:tcW w:w="6868" w:type="dxa"/>
          </w:tcPr>
          <w:p w14:paraId="5ED20AFC" w14:textId="55E930F4" w:rsidR="006B462D" w:rsidRPr="00294052" w:rsidRDefault="00731677" w:rsidP="000239E1">
            <w:pPr>
              <w:jc w:val="both"/>
              <w:rPr>
                <w:sz w:val="24"/>
                <w:szCs w:val="24"/>
              </w:rPr>
            </w:pPr>
            <w:r w:rsidRPr="00731677">
              <w:rPr>
                <w:sz w:val="24"/>
                <w:szCs w:val="24"/>
                <w:highlight w:val="yellow"/>
              </w:rPr>
              <w:t>XXXX</w:t>
            </w:r>
          </w:p>
        </w:tc>
      </w:tr>
      <w:tr w:rsidR="00731677" w14:paraId="4668E48B" w14:textId="77777777" w:rsidTr="000239E1">
        <w:tc>
          <w:tcPr>
            <w:tcW w:w="2872" w:type="dxa"/>
          </w:tcPr>
          <w:p w14:paraId="3393F129" w14:textId="00AA7EFB" w:rsidR="00731677" w:rsidRDefault="00731677" w:rsidP="000239E1">
            <w:pPr>
              <w:jc w:val="both"/>
              <w:rPr>
                <w:b/>
                <w:bCs/>
                <w:sz w:val="24"/>
                <w:szCs w:val="24"/>
              </w:rPr>
            </w:pPr>
            <w:r>
              <w:rPr>
                <w:b/>
                <w:bCs/>
                <w:sz w:val="24"/>
                <w:szCs w:val="24"/>
              </w:rPr>
              <w:t>Expediente</w:t>
            </w:r>
          </w:p>
        </w:tc>
        <w:tc>
          <w:tcPr>
            <w:tcW w:w="6868" w:type="dxa"/>
          </w:tcPr>
          <w:p w14:paraId="4D9774CE" w14:textId="270C76FD" w:rsidR="00731677" w:rsidRDefault="00731677" w:rsidP="000239E1">
            <w:pPr>
              <w:jc w:val="both"/>
              <w:rPr>
                <w:sz w:val="24"/>
                <w:szCs w:val="24"/>
              </w:rPr>
            </w:pPr>
            <w:r>
              <w:rPr>
                <w:sz w:val="24"/>
                <w:szCs w:val="24"/>
              </w:rPr>
              <w:t>TSI-06</w:t>
            </w:r>
            <w:r w:rsidR="002B3EBF">
              <w:rPr>
                <w:sz w:val="24"/>
                <w:szCs w:val="24"/>
              </w:rPr>
              <w:t>3</w:t>
            </w:r>
            <w:r w:rsidRPr="0025232B">
              <w:rPr>
                <w:sz w:val="24"/>
                <w:szCs w:val="24"/>
                <w:highlight w:val="yellow"/>
              </w:rPr>
              <w:t>X</w:t>
            </w:r>
            <w:r>
              <w:rPr>
                <w:sz w:val="24"/>
                <w:szCs w:val="24"/>
              </w:rPr>
              <w:t>00-202</w:t>
            </w:r>
            <w:r w:rsidR="002B3EBF">
              <w:rPr>
                <w:sz w:val="24"/>
                <w:szCs w:val="24"/>
              </w:rPr>
              <w:t>3</w:t>
            </w:r>
            <w:r>
              <w:rPr>
                <w:sz w:val="24"/>
                <w:szCs w:val="24"/>
              </w:rPr>
              <w:t>-</w:t>
            </w:r>
            <w:r w:rsidRPr="00731677">
              <w:rPr>
                <w:sz w:val="24"/>
                <w:szCs w:val="24"/>
                <w:highlight w:val="yellow"/>
              </w:rPr>
              <w:t xml:space="preserve"> XXXX</w:t>
            </w:r>
          </w:p>
        </w:tc>
      </w:tr>
    </w:tbl>
    <w:p w14:paraId="7EA4B642" w14:textId="77777777" w:rsidR="006B462D" w:rsidRDefault="006B462D" w:rsidP="006B462D">
      <w:pPr>
        <w:jc w:val="both"/>
      </w:pPr>
    </w:p>
    <w:tbl>
      <w:tblPr>
        <w:tblStyle w:val="Tablaconcuadrcula"/>
        <w:tblW w:w="0" w:type="auto"/>
        <w:tblLook w:val="04A0" w:firstRow="1" w:lastRow="0" w:firstColumn="1" w:lastColumn="0" w:noHBand="0" w:noVBand="1"/>
      </w:tblPr>
      <w:tblGrid>
        <w:gridCol w:w="9740"/>
      </w:tblGrid>
      <w:tr w:rsidR="006B462D" w:rsidRPr="0025232B" w14:paraId="28F3B2CE" w14:textId="77777777" w:rsidTr="000239E1">
        <w:tc>
          <w:tcPr>
            <w:tcW w:w="9740" w:type="dxa"/>
          </w:tcPr>
          <w:p w14:paraId="0FF0EE53" w14:textId="1FAD348C" w:rsidR="006B462D" w:rsidRPr="0025232B" w:rsidRDefault="006B462D" w:rsidP="000239E1">
            <w:pPr>
              <w:spacing w:after="160" w:line="259" w:lineRule="auto"/>
              <w:jc w:val="both"/>
              <w:rPr>
                <w:sz w:val="24"/>
                <w:szCs w:val="24"/>
              </w:rPr>
            </w:pPr>
            <w:r w:rsidRPr="0025232B">
              <w:rPr>
                <w:sz w:val="24"/>
                <w:szCs w:val="24"/>
              </w:rPr>
              <w:t xml:space="preserve">En esta memoria se describen las acciones llevadas a cabo por </w:t>
            </w:r>
            <w:r w:rsidRPr="0025232B">
              <w:rPr>
                <w:sz w:val="24"/>
                <w:szCs w:val="24"/>
                <w:highlight w:val="yellow"/>
              </w:rPr>
              <w:t>[BENEFIC</w:t>
            </w:r>
            <w:r w:rsidR="005D23A6">
              <w:rPr>
                <w:sz w:val="24"/>
                <w:szCs w:val="24"/>
                <w:highlight w:val="yellow"/>
              </w:rPr>
              <w:t>I</w:t>
            </w:r>
            <w:r w:rsidRPr="0025232B">
              <w:rPr>
                <w:sz w:val="24"/>
                <w:szCs w:val="24"/>
                <w:highlight w:val="yellow"/>
              </w:rPr>
              <w:t>ARIO</w:t>
            </w:r>
            <w:r w:rsidRPr="0025232B">
              <w:rPr>
                <w:sz w:val="24"/>
                <w:szCs w:val="24"/>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281F5BB5" w14:textId="77777777" w:rsidR="006B462D" w:rsidRDefault="006B462D" w:rsidP="006B462D">
      <w:pPr>
        <w:jc w:val="both"/>
        <w:rPr>
          <w:highlight w:val="yellow"/>
        </w:rPr>
      </w:pPr>
    </w:p>
    <w:p w14:paraId="69B8CB22" w14:textId="77777777" w:rsidR="006B462D" w:rsidRDefault="006B462D" w:rsidP="001A4255"/>
    <w:p w14:paraId="337F58A4" w14:textId="7777777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1: </w:t>
      </w:r>
      <w:r w:rsidRPr="006014B0">
        <w:rPr>
          <w:b/>
          <w:bCs/>
        </w:rPr>
        <w:t xml:space="preserve"> </w:t>
      </w:r>
    </w:p>
    <w:p w14:paraId="13013C41" w14:textId="3252D38F" w:rsidR="004A51E7" w:rsidRDefault="004A51E7" w:rsidP="006B462D">
      <w:pPr>
        <w:jc w:val="both"/>
      </w:pPr>
      <w:r>
        <w:t>1. </w:t>
      </w:r>
      <w:r w:rsidR="002B3EBF" w:rsidRPr="002B3EBF">
        <w:t xml:space="preserve"> Respecto a las emisiones de gases de efecto invernadero</w:t>
      </w:r>
      <w:r>
        <w:t>:</w:t>
      </w:r>
    </w:p>
    <w:p w14:paraId="1D7A9A44" w14:textId="77777777" w:rsidR="002B3EBF" w:rsidRPr="002B3EBF" w:rsidRDefault="002B3EBF" w:rsidP="002B3EBF">
      <w:pPr>
        <w:ind w:left="708"/>
        <w:jc w:val="both"/>
      </w:pPr>
      <w:r w:rsidRPr="002B3EBF">
        <w:t>a)</w:t>
      </w:r>
      <w:r w:rsidRPr="002B3EBF">
        <w:t> </w:t>
      </w:r>
      <w:r w:rsidRPr="002B3EBF">
        <w:t>Los equipos que se utilicen cumplirán con los requisitos relacionados con el consumo energético establecidos de acuerdo con la Directiva 2009/125/EC para servidores y almacenamiento de datos, o computadoras y servidores de computadoras o pantallas electrónicas.</w:t>
      </w:r>
    </w:p>
    <w:p w14:paraId="037CE9F7" w14:textId="77777777" w:rsidR="002B3EBF" w:rsidRPr="002B3EBF" w:rsidRDefault="002B3EBF" w:rsidP="002B3EBF">
      <w:pPr>
        <w:ind w:left="708"/>
        <w:jc w:val="both"/>
      </w:pPr>
      <w:r w:rsidRPr="002B3EBF">
        <w:t>b)</w:t>
      </w:r>
      <w:r w:rsidRPr="002B3EBF">
        <w:t> </w:t>
      </w:r>
      <w:r w:rsidRPr="002B3EBF">
        <w:t>Para la instalación de las infraestructuras IT, se seguirá la versión más reciente del Código de conducta europeo sobre eficiencia energética de centros de datos, o en el documento CEN-CENELEC CLC TR50600-99-1 «Instalaciones e infraestructuras de centros de datos-Parte 99-1: Prácticas recomendadas para la gestión energética».</w:t>
      </w:r>
    </w:p>
    <w:p w14:paraId="6A28523D" w14:textId="77777777" w:rsidR="002B3EBF" w:rsidRPr="002B3EBF" w:rsidRDefault="002B3EBF" w:rsidP="002B3EBF">
      <w:pPr>
        <w:ind w:left="708"/>
        <w:jc w:val="both"/>
      </w:pPr>
      <w:r w:rsidRPr="002B3EBF">
        <w:t>c)</w:t>
      </w:r>
      <w:r w:rsidRPr="002B3EBF">
        <w:t> </w:t>
      </w:r>
      <w:r w:rsidRPr="002B3EBF">
        <w:t xml:space="preserve">3.º Para minimizar el impacto climático y medioambiental de las grandes infraestructuras digitales transfronterizas y </w:t>
      </w:r>
      <w:proofErr w:type="spellStart"/>
      <w:r w:rsidRPr="002B3EBF">
        <w:t>multipaís</w:t>
      </w:r>
      <w:proofErr w:type="spellEnd"/>
      <w:r w:rsidRPr="002B3EBF">
        <w:t xml:space="preserve">, se activarán medidas y se establecerán políticas de apoyo a la instalación de aquellos centros que sean absolutamente respetuosos con los informes de la comisión: concretamente el «EU </w:t>
      </w:r>
      <w:proofErr w:type="spellStart"/>
      <w:r w:rsidRPr="002B3EBF">
        <w:t>Code</w:t>
      </w:r>
      <w:proofErr w:type="spellEnd"/>
      <w:r w:rsidRPr="002B3EBF">
        <w:t xml:space="preserve"> </w:t>
      </w:r>
      <w:proofErr w:type="spellStart"/>
      <w:r w:rsidRPr="002B3EBF">
        <w:t>of</w:t>
      </w:r>
      <w:proofErr w:type="spellEnd"/>
      <w:r w:rsidRPr="002B3EBF">
        <w:t xml:space="preserve"> </w:t>
      </w:r>
      <w:proofErr w:type="spellStart"/>
      <w:r w:rsidRPr="002B3EBF">
        <w:t>Conduct</w:t>
      </w:r>
      <w:proofErr w:type="spellEnd"/>
      <w:r w:rsidRPr="002B3EBF">
        <w:t xml:space="preserve"> </w:t>
      </w:r>
      <w:proofErr w:type="spellStart"/>
      <w:r w:rsidRPr="002B3EBF">
        <w:t>on</w:t>
      </w:r>
      <w:proofErr w:type="spellEnd"/>
      <w:r w:rsidRPr="002B3EBF">
        <w:t xml:space="preserve"> Data Centre Energy </w:t>
      </w:r>
      <w:proofErr w:type="spellStart"/>
      <w:r w:rsidRPr="002B3EBF">
        <w:t>efficiency</w:t>
      </w:r>
      <w:proofErr w:type="spellEnd"/>
      <w:r w:rsidRPr="002B3EBF">
        <w:t>» (https://ec.europa.eu/jrc/en/energy-efficiency/code-conduct/datacentres).</w:t>
      </w:r>
    </w:p>
    <w:p w14:paraId="1E40F553"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2F2E4CB1" w14:textId="27A71533" w:rsidR="006B462D" w:rsidRDefault="006B462D" w:rsidP="006B462D">
      <w:pPr>
        <w:jc w:val="both"/>
      </w:pPr>
    </w:p>
    <w:p w14:paraId="0E4CA1BB" w14:textId="721CF80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2: </w:t>
      </w:r>
      <w:r w:rsidRPr="006014B0">
        <w:rPr>
          <w:b/>
          <w:bCs/>
        </w:rPr>
        <w:t xml:space="preserve"> </w:t>
      </w:r>
    </w:p>
    <w:p w14:paraId="729C0E00" w14:textId="2CD584AC" w:rsidR="004A51E7" w:rsidRDefault="004A51E7" w:rsidP="006B462D">
      <w:pPr>
        <w:jc w:val="both"/>
      </w:pPr>
      <w:r>
        <w:t>2. </w:t>
      </w:r>
      <w:r w:rsidR="002B3EBF" w:rsidRPr="002B3EBF">
        <w:t xml:space="preserve"> En relación con los posibles efectos adversos de las condiciones climáticas actuales y de las previstas en el futuro, sobre sí misma o en las personas, la naturaleza o los activos.</w:t>
      </w:r>
    </w:p>
    <w:p w14:paraId="03473E1F" w14:textId="77777777" w:rsidR="002B3EBF" w:rsidRPr="002B3EBF" w:rsidRDefault="002B3EBF" w:rsidP="002B3EBF">
      <w:pPr>
        <w:ind w:left="708"/>
        <w:jc w:val="both"/>
      </w:pPr>
      <w:r w:rsidRPr="002B3EBF">
        <w:t>a)</w:t>
      </w:r>
      <w:r w:rsidRPr="002B3EBF">
        <w:t> </w:t>
      </w:r>
      <w:r w:rsidRPr="002B3EBF">
        <w:t>Se realizará una evaluación del riesgo climático y la vulnerabilidad de las instalaciones de infraestructuras IT y en su caso, se establecerán las soluciones de adaptación adecuadas para cada caso.</w:t>
      </w:r>
    </w:p>
    <w:p w14:paraId="5F26E062" w14:textId="77777777" w:rsidR="002B3EBF" w:rsidRPr="002B3EBF" w:rsidRDefault="002B3EBF" w:rsidP="002B3EBF">
      <w:pPr>
        <w:ind w:left="708"/>
        <w:jc w:val="both"/>
      </w:pPr>
      <w:r w:rsidRPr="002B3EBF">
        <w:t>b)</w:t>
      </w:r>
      <w:r w:rsidRPr="002B3EBF">
        <w:t> </w:t>
      </w:r>
      <w:r w:rsidRPr="002B3EBF">
        <w:t>Se realizarán evaluaciones para no impactar en áreas o en entornos propensos a inundaciones, temperaturas extremas y/o desprendimientos de tierras.</w:t>
      </w:r>
    </w:p>
    <w:p w14:paraId="078D40AF"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1D21F2FF" w14:textId="086690AB"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3: </w:t>
      </w:r>
      <w:r w:rsidRPr="006014B0">
        <w:rPr>
          <w:b/>
          <w:bCs/>
        </w:rPr>
        <w:t xml:space="preserve"> </w:t>
      </w:r>
    </w:p>
    <w:p w14:paraId="39219AEB" w14:textId="76E2CD7D" w:rsidR="00065287" w:rsidRDefault="004A51E7" w:rsidP="006B462D">
      <w:pPr>
        <w:jc w:val="both"/>
      </w:pPr>
      <w:r>
        <w:t>3. </w:t>
      </w:r>
      <w:r w:rsidR="002B3EBF" w:rsidRPr="002B3EBF">
        <w:t xml:space="preserve"> Para fomentar la economía circular se exigirá lo siguiente</w:t>
      </w:r>
      <w:r w:rsidR="00065287">
        <w:t>:</w:t>
      </w:r>
    </w:p>
    <w:p w14:paraId="46E7DB40" w14:textId="27EDCE71" w:rsidR="006A617E" w:rsidRDefault="002B3EBF" w:rsidP="006B462D">
      <w:pPr>
        <w:ind w:left="708"/>
        <w:jc w:val="both"/>
      </w:pPr>
      <w:r w:rsidRPr="002B3EBF">
        <w:t>a)</w:t>
      </w:r>
      <w:r w:rsidRPr="002B3EBF">
        <w:t> </w:t>
      </w:r>
      <w:r w:rsidRPr="002B3EBF">
        <w:t>Los equipos utilizados cumplirán con los requisitos de eficiencia de materiales establecidos de acuerdo con la Directiva 2009/125/EC para servidores y almacenamiento de datos, u ordenadores y servidores de ordenadores o pantallas electrónicas. Los equipos no contendrán las sustancias restringidas enumeradas en el anexo II de la Directiva 2011/65/UE,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w:t>
      </w:r>
    </w:p>
    <w:p w14:paraId="337BA8A2"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05D8DA5F" w14:textId="5D26DB14" w:rsidR="002B3EBF" w:rsidRPr="006014B0" w:rsidRDefault="002B3EBF" w:rsidP="002B3EBF">
      <w:pPr>
        <w:jc w:val="both"/>
        <w:rPr>
          <w:b/>
          <w:bCs/>
        </w:rPr>
      </w:pPr>
      <w:r>
        <w:rPr>
          <w:b/>
          <w:bCs/>
        </w:rPr>
        <w:t xml:space="preserve">Condición específica </w:t>
      </w:r>
      <w:proofErr w:type="spellStart"/>
      <w:r>
        <w:rPr>
          <w:b/>
          <w:bCs/>
        </w:rPr>
        <w:t>nº</w:t>
      </w:r>
      <w:proofErr w:type="spellEnd"/>
      <w:r>
        <w:rPr>
          <w:b/>
          <w:bCs/>
        </w:rPr>
        <w:t xml:space="preserve"> 4: </w:t>
      </w:r>
      <w:r w:rsidRPr="006014B0">
        <w:rPr>
          <w:b/>
          <w:bCs/>
        </w:rPr>
        <w:t xml:space="preserve"> </w:t>
      </w:r>
    </w:p>
    <w:p w14:paraId="3F6C295D" w14:textId="096D1316" w:rsidR="006B462D" w:rsidRDefault="002B3EBF" w:rsidP="002B3EBF">
      <w:pPr>
        <w:tabs>
          <w:tab w:val="left" w:pos="426"/>
        </w:tabs>
      </w:pPr>
      <w:r>
        <w:t>4.</w:t>
      </w:r>
      <w:r>
        <w:tab/>
      </w:r>
      <w:r w:rsidRPr="002B3EBF">
        <w:t>Como protección de la biodiversidad y los ecosistemas:</w:t>
      </w:r>
    </w:p>
    <w:p w14:paraId="6D3F1B10" w14:textId="7D11FF5D" w:rsidR="002B3EBF" w:rsidRDefault="002B3EBF" w:rsidP="002B3EBF">
      <w:pPr>
        <w:ind w:left="708"/>
        <w:jc w:val="both"/>
      </w:pPr>
      <w:r w:rsidRPr="002B3EBF">
        <w:t>a)</w:t>
      </w:r>
      <w:r w:rsidRPr="002B3EBF">
        <w:t> </w:t>
      </w:r>
      <w:r w:rsidRPr="002B3EBF">
        <w:t>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2011/92/EU.</w:t>
      </w:r>
    </w:p>
    <w:p w14:paraId="23457FF8" w14:textId="77777777" w:rsidR="002B3EBF" w:rsidRPr="00591BED" w:rsidRDefault="002B3EBF" w:rsidP="002B3EBF">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0FD0CF4" w14:textId="6E276564" w:rsidR="002B3EBF" w:rsidRPr="006014B0" w:rsidRDefault="002B3EBF" w:rsidP="002B3EBF">
      <w:pPr>
        <w:jc w:val="both"/>
        <w:rPr>
          <w:b/>
          <w:bCs/>
        </w:rPr>
      </w:pPr>
      <w:r>
        <w:rPr>
          <w:b/>
          <w:bCs/>
        </w:rPr>
        <w:t xml:space="preserve">Condición específica </w:t>
      </w:r>
      <w:proofErr w:type="spellStart"/>
      <w:r>
        <w:rPr>
          <w:b/>
          <w:bCs/>
        </w:rPr>
        <w:t>nº</w:t>
      </w:r>
      <w:proofErr w:type="spellEnd"/>
      <w:r>
        <w:rPr>
          <w:b/>
          <w:bCs/>
        </w:rPr>
        <w:t xml:space="preserve"> 5: </w:t>
      </w:r>
      <w:r w:rsidRPr="006014B0">
        <w:rPr>
          <w:b/>
          <w:bCs/>
        </w:rPr>
        <w:t xml:space="preserve"> </w:t>
      </w:r>
    </w:p>
    <w:p w14:paraId="5E9B9C69" w14:textId="5AF23EA1" w:rsidR="002B3EBF" w:rsidRDefault="002B3EBF" w:rsidP="002B3EBF">
      <w:pPr>
        <w:tabs>
          <w:tab w:val="left" w:pos="426"/>
        </w:tabs>
        <w:jc w:val="both"/>
      </w:pPr>
      <w:r>
        <w:t>5.</w:t>
      </w:r>
      <w:r>
        <w:tab/>
      </w:r>
      <w:r w:rsidRPr="002B3EBF">
        <w:t>Como medidas del uso sostenible y protección de los recursos hídricos y marinos.</w:t>
      </w:r>
    </w:p>
    <w:p w14:paraId="470BFF42" w14:textId="77777777" w:rsidR="002B3EBF" w:rsidRPr="002B3EBF" w:rsidRDefault="002B3EBF" w:rsidP="002B3EBF">
      <w:pPr>
        <w:ind w:left="708"/>
        <w:jc w:val="both"/>
      </w:pPr>
      <w:r w:rsidRPr="002B3EBF">
        <w:lastRenderedPageBreak/>
        <w:t>a)</w:t>
      </w:r>
      <w:r w:rsidRPr="002B3EBF">
        <w:t> </w:t>
      </w:r>
      <w:r w:rsidRPr="002B3EBF">
        <w:t>Se asegurará que las instalaciones de infraestructuras IT no tengan un impacto negativo sobre el buen estado medioambiental de las aguas marinas y las masas de agua terrestres superficiales y subterráneas</w:t>
      </w:r>
    </w:p>
    <w:p w14:paraId="324C6C52" w14:textId="3187112E" w:rsidR="002B3EBF" w:rsidRDefault="002B3EBF" w:rsidP="002B3EBF">
      <w:pPr>
        <w:ind w:left="708"/>
        <w:jc w:val="both"/>
      </w:pPr>
      <w:r w:rsidRPr="002B3EBF">
        <w:t>b)</w:t>
      </w:r>
      <w:r w:rsidRPr="002B3EBF">
        <w:t> </w:t>
      </w:r>
      <w:r w:rsidRPr="002B3EBF">
        <w:t>Se asegurará que las instalaciones de infraestructuras IT fomenten la optimización del empleo de recursos hídrico ni afectará a especies y hábitats protegidos que dependan de recursos hídricos</w:t>
      </w:r>
      <w:r>
        <w:t>.</w:t>
      </w:r>
    </w:p>
    <w:p w14:paraId="28C235E8" w14:textId="394F4EB7" w:rsidR="002B3EBF" w:rsidRPr="002B3EBF" w:rsidRDefault="002B3EBF" w:rsidP="002B3EBF">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7A5EBBD7" w14:textId="16FEB05B" w:rsidR="002B3EBF" w:rsidRDefault="002B3EBF" w:rsidP="002B3EBF">
      <w:pPr>
        <w:jc w:val="both"/>
        <w:rPr>
          <w:b/>
          <w:bCs/>
        </w:rPr>
      </w:pPr>
      <w:r>
        <w:rPr>
          <w:b/>
          <w:bCs/>
        </w:rPr>
        <w:t xml:space="preserve">Condición específica </w:t>
      </w:r>
      <w:proofErr w:type="spellStart"/>
      <w:r>
        <w:rPr>
          <w:b/>
          <w:bCs/>
        </w:rPr>
        <w:t>nº</w:t>
      </w:r>
      <w:proofErr w:type="spellEnd"/>
      <w:r>
        <w:rPr>
          <w:b/>
          <w:bCs/>
        </w:rPr>
        <w:t xml:space="preserve"> 6:  </w:t>
      </w:r>
    </w:p>
    <w:p w14:paraId="143D8C68" w14:textId="7074D13E" w:rsidR="002B3EBF" w:rsidRDefault="002B3EBF" w:rsidP="002B3EBF">
      <w:pPr>
        <w:tabs>
          <w:tab w:val="left" w:pos="426"/>
        </w:tabs>
        <w:jc w:val="both"/>
      </w:pPr>
      <w:r w:rsidRPr="002B3EBF">
        <w:t>6.</w:t>
      </w:r>
      <w:r w:rsidRPr="002B3EBF">
        <w:t> </w:t>
      </w:r>
      <w:r w:rsidRPr="002B3EBF">
        <w:t>Como protección y restauración de la biodiversidad y los ecosistemas:</w:t>
      </w:r>
    </w:p>
    <w:p w14:paraId="5E15F679" w14:textId="048B88DA" w:rsidR="002B3EBF" w:rsidRDefault="002B3EBF" w:rsidP="002B3EBF">
      <w:pPr>
        <w:ind w:left="708"/>
        <w:jc w:val="both"/>
      </w:pPr>
      <w:r w:rsidRPr="002B3EBF">
        <w:t>a) La actuación no se llevará a cabo en áreas protegidas o sensibles de la red Natura 2000, en lugares declarados patrimonio de la humanidad por la UNESCO o en áreas clave de biodiversidad.</w:t>
      </w:r>
    </w:p>
    <w:p w14:paraId="41CBB193" w14:textId="77777777" w:rsidR="002B3EBF" w:rsidRPr="00591BED" w:rsidRDefault="002B3EBF" w:rsidP="002B3EBF">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2E1048F5" w14:textId="77777777" w:rsidR="002B3EBF" w:rsidRDefault="002B3EBF" w:rsidP="002B3EBF">
      <w:pPr>
        <w:jc w:val="both"/>
      </w:pPr>
    </w:p>
    <w:p w14:paraId="0B3B9A7C" w14:textId="77777777" w:rsidR="0025232B" w:rsidRDefault="0025232B" w:rsidP="00C05A8B">
      <w:pPr>
        <w:ind w:left="708"/>
        <w:jc w:val="center"/>
        <w:rPr>
          <w:b/>
          <w:bCs/>
          <w:highlight w:val="yellow"/>
        </w:rPr>
      </w:pPr>
    </w:p>
    <w:p w14:paraId="526CBB32" w14:textId="77777777" w:rsidR="0025232B" w:rsidRDefault="0025232B" w:rsidP="00C05A8B">
      <w:pPr>
        <w:ind w:left="708"/>
        <w:jc w:val="center"/>
        <w:rPr>
          <w:b/>
          <w:bCs/>
          <w:highlight w:val="yellow"/>
        </w:rPr>
      </w:pPr>
    </w:p>
    <w:p w14:paraId="1E8FE876" w14:textId="08A238E1" w:rsidR="00C05A8B" w:rsidRPr="002152B6" w:rsidRDefault="00C05A8B" w:rsidP="00C05A8B">
      <w:pPr>
        <w:ind w:left="708"/>
        <w:jc w:val="center"/>
        <w:rPr>
          <w:b/>
          <w:bCs/>
        </w:rPr>
      </w:pPr>
      <w:r w:rsidRPr="002152B6">
        <w:rPr>
          <w:b/>
          <w:bCs/>
          <w:highlight w:val="yellow"/>
        </w:rPr>
        <w:t>Firma electrónica</w:t>
      </w:r>
    </w:p>
    <w:p w14:paraId="3F619B4E" w14:textId="77777777" w:rsidR="00C05A8B" w:rsidRDefault="00C05A8B" w:rsidP="006A617E">
      <w:pPr>
        <w:ind w:left="708"/>
      </w:pPr>
    </w:p>
    <w:sectPr w:rsidR="00C05A8B" w:rsidSect="000051D0">
      <w:headerReference w:type="default" r:id="rId7"/>
      <w:foot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EA89" w14:textId="77777777" w:rsidR="00CB7B31" w:rsidRDefault="00CB7B31" w:rsidP="00CB7B31">
      <w:pPr>
        <w:spacing w:after="0" w:line="240" w:lineRule="auto"/>
      </w:pPr>
      <w:r>
        <w:separator/>
      </w:r>
    </w:p>
  </w:endnote>
  <w:endnote w:type="continuationSeparator" w:id="0">
    <w:p w14:paraId="66111F61" w14:textId="77777777" w:rsidR="00CB7B31" w:rsidRDefault="00CB7B31" w:rsidP="00CB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27090"/>
      <w:docPartObj>
        <w:docPartGallery w:val="Page Numbers (Bottom of Page)"/>
        <w:docPartUnique/>
      </w:docPartObj>
    </w:sdtPr>
    <w:sdtEndPr/>
    <w:sdtContent>
      <w:p w14:paraId="48D03802" w14:textId="75F5DEEA" w:rsidR="0025232B" w:rsidRDefault="0025232B" w:rsidP="00AB74AB">
        <w:pPr>
          <w:pStyle w:val="Piedepgina"/>
          <w:spacing w:before="240"/>
          <w:jc w:val="right"/>
        </w:pPr>
        <w:r>
          <w:fldChar w:fldCharType="begin"/>
        </w:r>
        <w:r>
          <w:instrText>PAGE   \* MERGEFORMAT</w:instrText>
        </w:r>
        <w:r>
          <w:fldChar w:fldCharType="separate"/>
        </w:r>
        <w:r>
          <w:t>2</w:t>
        </w:r>
        <w:r>
          <w:fldChar w:fldCharType="end"/>
        </w:r>
      </w:p>
    </w:sdtContent>
  </w:sdt>
  <w:p w14:paraId="35E257B3" w14:textId="77777777" w:rsidR="0025232B" w:rsidRDefault="002523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D951" w14:textId="77777777" w:rsidR="00CB7B31" w:rsidRDefault="00CB7B31" w:rsidP="00CB7B31">
      <w:pPr>
        <w:spacing w:after="0" w:line="240" w:lineRule="auto"/>
      </w:pPr>
      <w:r>
        <w:separator/>
      </w:r>
    </w:p>
  </w:footnote>
  <w:footnote w:type="continuationSeparator" w:id="0">
    <w:p w14:paraId="7D1A3E30" w14:textId="77777777" w:rsidR="00CB7B31" w:rsidRDefault="00CB7B31" w:rsidP="00CB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BF83" w14:textId="732C6058" w:rsidR="0025232B" w:rsidRDefault="00CB7B31" w:rsidP="00CB7B31">
    <w:pPr>
      <w:pStyle w:val="Header10"/>
      <w:spacing w:before="0"/>
    </w:pPr>
    <w:r>
      <w:t xml:space="preserve"> </w:t>
    </w:r>
    <w:r>
      <w:rPr>
        <w:noProof/>
        <w:color w:val="1F497D"/>
        <w:shd w:val="clear" w:color="auto" w:fill="E6E6E6"/>
        <w:lang w:eastAsia="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146"/>
      <w:gridCol w:w="3302"/>
    </w:tblGrid>
    <w:tr w:rsidR="0025232B" w14:paraId="1758B366" w14:textId="77777777" w:rsidTr="009A50EE">
      <w:tc>
        <w:tcPr>
          <w:tcW w:w="3246" w:type="dxa"/>
          <w:vAlign w:val="center"/>
        </w:tcPr>
        <w:p w14:paraId="39C294BA" w14:textId="4CDD9884" w:rsidR="0025232B" w:rsidRDefault="0025232B" w:rsidP="009A50EE">
          <w:pPr>
            <w:pStyle w:val="Header10"/>
            <w:spacing w:before="0"/>
            <w:jc w:val="center"/>
          </w:pPr>
          <w:bookmarkStart w:id="0" w:name="_Hlk171495304"/>
          <w:r>
            <w:rPr>
              <w:noProof/>
            </w:rPr>
            <w:drawing>
              <wp:inline distT="0" distB="0" distL="0" distR="0" wp14:anchorId="6C30E40E" wp14:editId="3CBFE99A">
                <wp:extent cx="1959868" cy="512065"/>
                <wp:effectExtent l="0" t="0" r="0" b="2540"/>
                <wp:docPr id="2009268538"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8538"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9868" cy="512065"/>
                        </a:xfrm>
                        <a:prstGeom prst="rect">
                          <a:avLst/>
                        </a:prstGeom>
                      </pic:spPr>
                    </pic:pic>
                  </a:graphicData>
                </a:graphic>
              </wp:inline>
            </w:drawing>
          </w:r>
        </w:p>
      </w:tc>
      <w:tc>
        <w:tcPr>
          <w:tcW w:w="3247" w:type="dxa"/>
          <w:vAlign w:val="center"/>
        </w:tcPr>
        <w:p w14:paraId="78D0711E" w14:textId="08790529" w:rsidR="0025232B" w:rsidRDefault="0025232B" w:rsidP="009A50EE">
          <w:pPr>
            <w:pStyle w:val="Header10"/>
            <w:spacing w:before="0"/>
            <w:jc w:val="center"/>
          </w:pPr>
          <w:r>
            <w:rPr>
              <w:noProof/>
            </w:rPr>
            <w:drawing>
              <wp:inline distT="0" distB="0" distL="0" distR="0" wp14:anchorId="19B31A3B" wp14:editId="149EDEA8">
                <wp:extent cx="1830705" cy="580390"/>
                <wp:effectExtent l="0" t="0" r="0" b="0"/>
                <wp:docPr id="10821516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161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30705" cy="580390"/>
                        </a:xfrm>
                        <a:prstGeom prst="rect">
                          <a:avLst/>
                        </a:prstGeom>
                      </pic:spPr>
                    </pic:pic>
                  </a:graphicData>
                </a:graphic>
              </wp:inline>
            </w:drawing>
          </w:r>
        </w:p>
      </w:tc>
      <w:tc>
        <w:tcPr>
          <w:tcW w:w="3247" w:type="dxa"/>
          <w:vAlign w:val="center"/>
        </w:tcPr>
        <w:p w14:paraId="6F908C06" w14:textId="4EFFDA38" w:rsidR="0025232B" w:rsidRDefault="0025232B" w:rsidP="009A50EE">
          <w:pPr>
            <w:pStyle w:val="Header10"/>
            <w:spacing w:before="0"/>
            <w:jc w:val="center"/>
          </w:pPr>
          <w:r>
            <w:rPr>
              <w:noProof/>
            </w:rPr>
            <w:drawing>
              <wp:inline distT="0" distB="0" distL="0" distR="0" wp14:anchorId="486380D1" wp14:editId="6DA4F358">
                <wp:extent cx="1960014" cy="594881"/>
                <wp:effectExtent l="0" t="0" r="0" b="0"/>
                <wp:docPr id="66284641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6412" name="Imagen 2" descr="Texto&#10;&#10;Descripción generada automáticamente"/>
                        <pic:cNvPicPr/>
                      </pic:nvPicPr>
                      <pic:blipFill rotWithShape="1">
                        <a:blip r:embed="rId3">
                          <a:extLst>
                            <a:ext uri="{28A0092B-C50C-407E-A947-70E740481C1C}">
                              <a14:useLocalDpi xmlns:a14="http://schemas.microsoft.com/office/drawing/2010/main" val="0"/>
                            </a:ext>
                          </a:extLst>
                        </a:blip>
                        <a:srcRect t="23913" b="22126"/>
                        <a:stretch/>
                      </pic:blipFill>
                      <pic:spPr bwMode="auto">
                        <a:xfrm>
                          <a:off x="0" y="0"/>
                          <a:ext cx="2043145" cy="620112"/>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bl>
  <w:p w14:paraId="6AC8615D" w14:textId="6C185766" w:rsidR="00CB7B31" w:rsidRDefault="00CB7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623660714">
    <w:abstractNumId w:val="1"/>
  </w:num>
  <w:num w:numId="2" w16cid:durableId="572854636">
    <w:abstractNumId w:val="2"/>
  </w:num>
  <w:num w:numId="3" w16cid:durableId="922228035">
    <w:abstractNumId w:val="3"/>
  </w:num>
  <w:num w:numId="4" w16cid:durableId="605770214">
    <w:abstractNumId w:val="4"/>
  </w:num>
  <w:num w:numId="5" w16cid:durableId="973414154">
    <w:abstractNumId w:val="6"/>
  </w:num>
  <w:num w:numId="6" w16cid:durableId="1833250278">
    <w:abstractNumId w:val="5"/>
  </w:num>
  <w:num w:numId="7" w16cid:durableId="196615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65287"/>
    <w:rsid w:val="001A4255"/>
    <w:rsid w:val="00205935"/>
    <w:rsid w:val="00215D90"/>
    <w:rsid w:val="002415C9"/>
    <w:rsid w:val="0025232B"/>
    <w:rsid w:val="002B3EBF"/>
    <w:rsid w:val="002C365C"/>
    <w:rsid w:val="0038724F"/>
    <w:rsid w:val="004A51E7"/>
    <w:rsid w:val="004E6C90"/>
    <w:rsid w:val="005D23A6"/>
    <w:rsid w:val="006A591C"/>
    <w:rsid w:val="006A617E"/>
    <w:rsid w:val="006B462D"/>
    <w:rsid w:val="00731677"/>
    <w:rsid w:val="00740E9B"/>
    <w:rsid w:val="007670C7"/>
    <w:rsid w:val="007D5953"/>
    <w:rsid w:val="0087168A"/>
    <w:rsid w:val="00991C2B"/>
    <w:rsid w:val="009A50EE"/>
    <w:rsid w:val="00AA7984"/>
    <w:rsid w:val="00AB74AB"/>
    <w:rsid w:val="00BB135B"/>
    <w:rsid w:val="00BB1816"/>
    <w:rsid w:val="00C03650"/>
    <w:rsid w:val="00C05A8B"/>
    <w:rsid w:val="00C309D4"/>
    <w:rsid w:val="00C628BD"/>
    <w:rsid w:val="00C8282E"/>
    <w:rsid w:val="00CA4A93"/>
    <w:rsid w:val="00CB7B31"/>
    <w:rsid w:val="00CC2B3C"/>
    <w:rsid w:val="00CC64DE"/>
    <w:rsid w:val="00CE326A"/>
    <w:rsid w:val="00D0748E"/>
    <w:rsid w:val="00D41823"/>
    <w:rsid w:val="00D457D6"/>
    <w:rsid w:val="00D5302A"/>
    <w:rsid w:val="00D64FEE"/>
    <w:rsid w:val="00DB7EA9"/>
    <w:rsid w:val="00E60286"/>
    <w:rsid w:val="00EF01CF"/>
    <w:rsid w:val="00F01B8F"/>
    <w:rsid w:val="00FA37A6"/>
    <w:rsid w:val="00FD1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6B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B462D"/>
    <w:rPr>
      <w:color w:val="954F72" w:themeColor="followedHyperlink"/>
      <w:u w:val="single"/>
    </w:rPr>
  </w:style>
  <w:style w:type="paragraph" w:styleId="Encabezado">
    <w:name w:val="header"/>
    <w:basedOn w:val="Normal"/>
    <w:link w:val="EncabezadoCar"/>
    <w:uiPriority w:val="99"/>
    <w:unhideWhenUsed/>
    <w:rsid w:val="00CB7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B31"/>
  </w:style>
  <w:style w:type="paragraph" w:styleId="Piedepgina">
    <w:name w:val="footer"/>
    <w:basedOn w:val="Normal"/>
    <w:link w:val="PiedepginaCar"/>
    <w:uiPriority w:val="99"/>
    <w:unhideWhenUsed/>
    <w:rsid w:val="00CB7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B31"/>
  </w:style>
  <w:style w:type="character" w:customStyle="1" w:styleId="HeaderChar">
    <w:name w:val="Header Char"/>
    <w:basedOn w:val="Fuentedeprrafopredeter"/>
    <w:link w:val="Header10"/>
    <w:uiPriority w:val="99"/>
    <w:locked/>
    <w:rsid w:val="00CB7B31"/>
    <w:rPr>
      <w:rFonts w:ascii="Calibri" w:hAnsi="Calibri" w:cs="Arial"/>
      <w:szCs w:val="19"/>
    </w:rPr>
  </w:style>
  <w:style w:type="paragraph" w:customStyle="1" w:styleId="Header10">
    <w:name w:val="Header10"/>
    <w:basedOn w:val="Normal"/>
    <w:link w:val="HeaderChar"/>
    <w:uiPriority w:val="99"/>
    <w:rsid w:val="00CB7B31"/>
    <w:pPr>
      <w:tabs>
        <w:tab w:val="center" w:pos="4252"/>
        <w:tab w:val="right" w:pos="8504"/>
      </w:tabs>
      <w:spacing w:before="60" w:after="60" w:line="240" w:lineRule="auto"/>
      <w:jc w:val="both"/>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594">
      <w:bodyDiv w:val="1"/>
      <w:marLeft w:val="0"/>
      <w:marRight w:val="0"/>
      <w:marTop w:val="0"/>
      <w:marBottom w:val="0"/>
      <w:divBdr>
        <w:top w:val="none" w:sz="0" w:space="0" w:color="auto"/>
        <w:left w:val="none" w:sz="0" w:space="0" w:color="auto"/>
        <w:bottom w:val="none" w:sz="0" w:space="0" w:color="auto"/>
        <w:right w:val="none" w:sz="0" w:space="0" w:color="auto"/>
      </w:divBdr>
    </w:div>
    <w:div w:id="839613075">
      <w:bodyDiv w:val="1"/>
      <w:marLeft w:val="0"/>
      <w:marRight w:val="0"/>
      <w:marTop w:val="0"/>
      <w:marBottom w:val="0"/>
      <w:divBdr>
        <w:top w:val="none" w:sz="0" w:space="0" w:color="auto"/>
        <w:left w:val="none" w:sz="0" w:space="0" w:color="auto"/>
        <w:bottom w:val="none" w:sz="0" w:space="0" w:color="auto"/>
        <w:right w:val="none" w:sz="0" w:space="0" w:color="auto"/>
      </w:divBdr>
    </w:div>
    <w:div w:id="1130981532">
      <w:bodyDiv w:val="1"/>
      <w:marLeft w:val="0"/>
      <w:marRight w:val="0"/>
      <w:marTop w:val="0"/>
      <w:marBottom w:val="0"/>
      <w:divBdr>
        <w:top w:val="none" w:sz="0" w:space="0" w:color="auto"/>
        <w:left w:val="none" w:sz="0" w:space="0" w:color="auto"/>
        <w:bottom w:val="none" w:sz="0" w:space="0" w:color="auto"/>
        <w:right w:val="none" w:sz="0" w:space="0" w:color="auto"/>
      </w:divBdr>
    </w:div>
    <w:div w:id="1239749521">
      <w:bodyDiv w:val="1"/>
      <w:marLeft w:val="0"/>
      <w:marRight w:val="0"/>
      <w:marTop w:val="0"/>
      <w:marBottom w:val="0"/>
      <w:divBdr>
        <w:top w:val="none" w:sz="0" w:space="0" w:color="auto"/>
        <w:left w:val="none" w:sz="0" w:space="0" w:color="auto"/>
        <w:bottom w:val="none" w:sz="0" w:space="0" w:color="auto"/>
        <w:right w:val="none" w:sz="0" w:space="0" w:color="auto"/>
      </w:divBdr>
    </w:div>
    <w:div w:id="15648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7731AAE35A2D4A8AE695F0D5C77ACE" ma:contentTypeVersion="1" ma:contentTypeDescription="Crear nuevo documento." ma:contentTypeScope="" ma:versionID="d9ccc799426afa7943d7ecf62cf908c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E84DDC-C85D-4842-8126-312734E5491D}"/>
</file>

<file path=customXml/itemProps2.xml><?xml version="1.0" encoding="utf-8"?>
<ds:datastoreItem xmlns:ds="http://schemas.openxmlformats.org/officeDocument/2006/customXml" ds:itemID="{37C2019F-1FD4-4BF3-A6C5-A64CC6CB991B}"/>
</file>

<file path=customXml/itemProps3.xml><?xml version="1.0" encoding="utf-8"?>
<ds:datastoreItem xmlns:ds="http://schemas.openxmlformats.org/officeDocument/2006/customXml" ds:itemID="{9816E2EC-FF9C-4D3A-9BAB-CCECBBE6DB57}"/>
</file>

<file path=docProps/app.xml><?xml version="1.0" encoding="utf-8"?>
<Properties xmlns="http://schemas.openxmlformats.org/officeDocument/2006/extended-properties" xmlns:vt="http://schemas.openxmlformats.org/officeDocument/2006/docPropsVTypes">
  <Template>Normal.dotm</Template>
  <TotalTime>10</TotalTime>
  <Pages>3</Pages>
  <Words>846</Words>
  <Characters>4657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Fernandez Ecker, Antonio</cp:lastModifiedBy>
  <cp:revision>4</cp:revision>
  <dcterms:created xsi:type="dcterms:W3CDTF">2024-07-10T08:32:00Z</dcterms:created>
  <dcterms:modified xsi:type="dcterms:W3CDTF">2025-02-25T14:44:00Z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0x010100C97731AAE35A2D4A8AE695F0D5C77ACE</vt:lpwstr>
  </property>
</Properties>
</file>