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3910"/>
        <w:gridCol w:w="5830"/>
      </w:tblGrid>
      <w:tr w:rsidR="005B3E26" w14:paraId="36DCB0CA" w14:textId="77777777" w:rsidTr="00120B5F">
        <w:tc>
          <w:tcPr>
            <w:tcW w:w="9740" w:type="dxa"/>
            <w:gridSpan w:val="2"/>
          </w:tcPr>
          <w:p w14:paraId="37E71350" w14:textId="6066AF42" w:rsidR="005B3E26" w:rsidRDefault="005B3E26" w:rsidP="005B3E26">
            <w:pPr>
              <w:jc w:val="center"/>
            </w:pPr>
            <w:r w:rsidRPr="006014B0">
              <w:rPr>
                <w:b/>
                <w:bCs/>
                <w:sz w:val="28"/>
                <w:szCs w:val="28"/>
              </w:rPr>
              <w:t xml:space="preserve">MEMORIA </w:t>
            </w:r>
            <w:r w:rsidR="00B84042">
              <w:rPr>
                <w:b/>
                <w:bCs/>
                <w:sz w:val="28"/>
                <w:szCs w:val="28"/>
              </w:rPr>
              <w:t>DE ACTUACIÓN</w:t>
            </w:r>
            <w:r w:rsidR="00B84042">
              <w:rPr>
                <w:b/>
                <w:bCs/>
                <w:sz w:val="28"/>
                <w:szCs w:val="28"/>
              </w:rPr>
              <w:t xml:space="preserve"> </w:t>
            </w:r>
            <w:r w:rsidR="00CC47C0">
              <w:rPr>
                <w:b/>
                <w:bCs/>
                <w:sz w:val="28"/>
                <w:szCs w:val="28"/>
              </w:rPr>
              <w:t>TÉCNIC</w:t>
            </w:r>
            <w:r w:rsidR="00B84042">
              <w:rPr>
                <w:b/>
                <w:bCs/>
                <w:sz w:val="28"/>
                <w:szCs w:val="28"/>
              </w:rPr>
              <w:t>A Y ECONÓMICA</w:t>
            </w:r>
            <w:r w:rsidR="00CC47C0">
              <w:rPr>
                <w:b/>
                <w:bCs/>
                <w:sz w:val="28"/>
                <w:szCs w:val="28"/>
              </w:rPr>
              <w:t xml:space="preserve"> PARA EL SEGUIMIENTO</w:t>
            </w:r>
            <w:r w:rsidR="007566F0">
              <w:rPr>
                <w:b/>
                <w:bCs/>
                <w:sz w:val="28"/>
                <w:szCs w:val="28"/>
              </w:rPr>
              <w:t xml:space="preserve"> INTERMEDIO</w:t>
            </w:r>
          </w:p>
        </w:tc>
      </w:tr>
      <w:tr w:rsidR="00673029" w14:paraId="6E2CA2B8" w14:textId="77777777" w:rsidTr="007566F0">
        <w:tc>
          <w:tcPr>
            <w:tcW w:w="3910" w:type="dxa"/>
          </w:tcPr>
          <w:p w14:paraId="1D502FAA" w14:textId="1487A415" w:rsidR="00673029" w:rsidRDefault="00673029" w:rsidP="002454CE">
            <w:pPr>
              <w:jc w:val="both"/>
              <w:rPr>
                <w:b/>
                <w:bCs/>
                <w:sz w:val="24"/>
                <w:szCs w:val="24"/>
              </w:rPr>
            </w:pPr>
            <w:r>
              <w:rPr>
                <w:b/>
                <w:bCs/>
                <w:sz w:val="24"/>
                <w:szCs w:val="24"/>
              </w:rPr>
              <w:t>Convocatoria</w:t>
            </w:r>
          </w:p>
        </w:tc>
        <w:tc>
          <w:tcPr>
            <w:tcW w:w="5830" w:type="dxa"/>
          </w:tcPr>
          <w:p w14:paraId="28415A29" w14:textId="45416290" w:rsidR="00673029" w:rsidRDefault="007566F0" w:rsidP="007566F0">
            <w:pPr>
              <w:jc w:val="both"/>
              <w:rPr>
                <w:b/>
                <w:bCs/>
                <w:sz w:val="24"/>
                <w:szCs w:val="24"/>
              </w:rPr>
            </w:pPr>
            <w:r>
              <w:t>Adquisición de los repetidores y ecualizadores para el cable submarino PENCAN-X</w:t>
            </w:r>
          </w:p>
        </w:tc>
      </w:tr>
      <w:tr w:rsidR="00673029" w14:paraId="3A355412" w14:textId="77777777" w:rsidTr="007566F0">
        <w:tc>
          <w:tcPr>
            <w:tcW w:w="3910" w:type="dxa"/>
          </w:tcPr>
          <w:p w14:paraId="416B6627" w14:textId="1246DC30" w:rsidR="00673029" w:rsidRDefault="00673029" w:rsidP="00673029">
            <w:pPr>
              <w:ind w:left="708" w:hanging="708"/>
              <w:jc w:val="both"/>
              <w:rPr>
                <w:b/>
                <w:bCs/>
                <w:sz w:val="24"/>
                <w:szCs w:val="24"/>
              </w:rPr>
            </w:pPr>
            <w:r>
              <w:rPr>
                <w:b/>
                <w:bCs/>
                <w:sz w:val="24"/>
                <w:szCs w:val="24"/>
              </w:rPr>
              <w:t>Instrumento jurídico</w:t>
            </w:r>
          </w:p>
        </w:tc>
        <w:tc>
          <w:tcPr>
            <w:tcW w:w="5830" w:type="dxa"/>
          </w:tcPr>
          <w:p w14:paraId="36840867" w14:textId="77777777" w:rsidR="008D27EA" w:rsidRPr="008D27EA" w:rsidRDefault="008D27EA" w:rsidP="008D27EA">
            <w:pPr>
              <w:pStyle w:val="Default"/>
              <w:rPr>
                <w:rFonts w:asciiTheme="minorHAnsi" w:hAnsiTheme="minorHAnsi" w:cstheme="minorHAnsi"/>
                <w:sz w:val="22"/>
                <w:szCs w:val="22"/>
              </w:rPr>
            </w:pPr>
            <w:r w:rsidRPr="008D27EA">
              <w:rPr>
                <w:rFonts w:asciiTheme="minorHAnsi" w:hAnsiTheme="minorHAnsi" w:cstheme="minorHAnsi"/>
                <w:sz w:val="22"/>
                <w:szCs w:val="22"/>
              </w:rPr>
              <w:t>Real Decreto 1124/2024, de 5 de noviembre, por el que</w:t>
            </w:r>
          </w:p>
          <w:p w14:paraId="319390FE" w14:textId="0B71507E" w:rsidR="00673029" w:rsidRPr="00673029" w:rsidRDefault="008D27EA" w:rsidP="008D27EA">
            <w:pPr>
              <w:pStyle w:val="Default"/>
              <w:rPr>
                <w:rFonts w:asciiTheme="minorHAnsi" w:hAnsiTheme="minorHAnsi" w:cstheme="minorHAnsi"/>
                <w:sz w:val="22"/>
                <w:szCs w:val="22"/>
              </w:rPr>
            </w:pPr>
            <w:r w:rsidRPr="008D27EA">
              <w:rPr>
                <w:rFonts w:asciiTheme="minorHAnsi" w:hAnsiTheme="minorHAnsi" w:cstheme="minorHAnsi"/>
                <w:sz w:val="22"/>
                <w:szCs w:val="22"/>
              </w:rPr>
              <w:t>se regula la concesión directa de una subvención a Telefónica de España para</w:t>
            </w:r>
            <w:r>
              <w:rPr>
                <w:rFonts w:asciiTheme="minorHAnsi" w:hAnsiTheme="minorHAnsi" w:cstheme="minorHAnsi"/>
                <w:sz w:val="22"/>
                <w:szCs w:val="22"/>
              </w:rPr>
              <w:t xml:space="preserve"> </w:t>
            </w:r>
            <w:r w:rsidRPr="008D27EA">
              <w:rPr>
                <w:rFonts w:asciiTheme="minorHAnsi" w:hAnsiTheme="minorHAnsi" w:cstheme="minorHAnsi"/>
                <w:sz w:val="22"/>
                <w:szCs w:val="22"/>
              </w:rPr>
              <w:t>el proyecto de despliegue de un cable submarino entre la Península y la isla</w:t>
            </w:r>
            <w:r>
              <w:rPr>
                <w:rFonts w:asciiTheme="minorHAnsi" w:hAnsiTheme="minorHAnsi" w:cstheme="minorHAnsi"/>
                <w:sz w:val="22"/>
                <w:szCs w:val="22"/>
              </w:rPr>
              <w:t xml:space="preserve"> </w:t>
            </w:r>
            <w:r w:rsidRPr="008D27EA">
              <w:rPr>
                <w:rFonts w:asciiTheme="minorHAnsi" w:hAnsiTheme="minorHAnsi" w:cstheme="minorHAnsi"/>
                <w:sz w:val="22"/>
                <w:szCs w:val="22"/>
              </w:rPr>
              <w:t>de Gran Canaria, del mecanismo Conectar Europa-Digital, destinado a</w:t>
            </w:r>
            <w:r>
              <w:rPr>
                <w:rFonts w:asciiTheme="minorHAnsi" w:hAnsiTheme="minorHAnsi" w:cstheme="minorHAnsi"/>
                <w:sz w:val="22"/>
                <w:szCs w:val="22"/>
              </w:rPr>
              <w:t xml:space="preserve"> </w:t>
            </w:r>
            <w:r w:rsidRPr="008D27EA">
              <w:rPr>
                <w:rFonts w:asciiTheme="minorHAnsi" w:hAnsiTheme="minorHAnsi" w:cstheme="minorHAnsi"/>
                <w:sz w:val="22"/>
                <w:szCs w:val="22"/>
              </w:rPr>
              <w:t>reforzar las interconexiones en el territorio del Estado, en el marco del Plan</w:t>
            </w:r>
            <w:r>
              <w:rPr>
                <w:rFonts w:asciiTheme="minorHAnsi" w:hAnsiTheme="minorHAnsi" w:cstheme="minorHAnsi"/>
                <w:sz w:val="22"/>
                <w:szCs w:val="22"/>
              </w:rPr>
              <w:t xml:space="preserve"> </w:t>
            </w:r>
            <w:r w:rsidRPr="008D27EA">
              <w:rPr>
                <w:rFonts w:asciiTheme="minorHAnsi" w:hAnsiTheme="minorHAnsi" w:cstheme="minorHAnsi"/>
                <w:sz w:val="22"/>
                <w:szCs w:val="22"/>
              </w:rPr>
              <w:t>de Recuperación, Transformación y Resiliencia - financiado por la Unión</w:t>
            </w:r>
            <w:r>
              <w:rPr>
                <w:rFonts w:asciiTheme="minorHAnsi" w:hAnsiTheme="minorHAnsi" w:cstheme="minorHAnsi"/>
                <w:sz w:val="22"/>
                <w:szCs w:val="22"/>
              </w:rPr>
              <w:t xml:space="preserve"> </w:t>
            </w:r>
            <w:r w:rsidRPr="008D27EA">
              <w:rPr>
                <w:rFonts w:asciiTheme="minorHAnsi" w:hAnsiTheme="minorHAnsi" w:cstheme="minorHAnsi"/>
                <w:sz w:val="22"/>
                <w:szCs w:val="22"/>
              </w:rPr>
              <w:t xml:space="preserve">Europea - </w:t>
            </w:r>
            <w:proofErr w:type="spellStart"/>
            <w:r w:rsidRPr="008D27EA">
              <w:rPr>
                <w:rFonts w:asciiTheme="minorHAnsi" w:hAnsiTheme="minorHAnsi" w:cstheme="minorHAnsi"/>
                <w:sz w:val="22"/>
                <w:szCs w:val="22"/>
              </w:rPr>
              <w:t>NextGenerationEU</w:t>
            </w:r>
            <w:proofErr w:type="spellEnd"/>
            <w:r w:rsidRPr="008D27EA">
              <w:rPr>
                <w:rFonts w:asciiTheme="minorHAnsi" w:hAnsiTheme="minorHAnsi" w:cstheme="minorHAnsi"/>
                <w:sz w:val="22"/>
                <w:szCs w:val="22"/>
              </w:rPr>
              <w:t>.</w:t>
            </w:r>
          </w:p>
          <w:p w14:paraId="7957D939" w14:textId="2710ABCD" w:rsidR="00673029" w:rsidRDefault="009100FD" w:rsidP="002454CE">
            <w:pPr>
              <w:jc w:val="both"/>
              <w:rPr>
                <w:b/>
                <w:bCs/>
                <w:sz w:val="24"/>
                <w:szCs w:val="24"/>
              </w:rPr>
            </w:pPr>
            <w:hyperlink r:id="rId7" w:history="1">
              <w:r w:rsidR="008D27EA" w:rsidRPr="00CC47C0">
                <w:rPr>
                  <w:rStyle w:val="Hipervnculo"/>
                  <w:sz w:val="20"/>
                  <w:szCs w:val="20"/>
                </w:rPr>
                <w:t>https://www.boe.es/diario_boe/txt.php?id=BOE-A-2024-22934</w:t>
              </w:r>
            </w:hyperlink>
          </w:p>
        </w:tc>
      </w:tr>
      <w:tr w:rsidR="00673029" w14:paraId="78E1CA64" w14:textId="77777777" w:rsidTr="00CC47C0">
        <w:tc>
          <w:tcPr>
            <w:tcW w:w="3910" w:type="dxa"/>
          </w:tcPr>
          <w:p w14:paraId="5525BEE5" w14:textId="4052CF11" w:rsidR="00673029" w:rsidRDefault="00252817" w:rsidP="002454CE">
            <w:pPr>
              <w:jc w:val="both"/>
              <w:rPr>
                <w:b/>
                <w:bCs/>
                <w:sz w:val="24"/>
                <w:szCs w:val="24"/>
              </w:rPr>
            </w:pPr>
            <w:r>
              <w:rPr>
                <w:b/>
                <w:bCs/>
                <w:sz w:val="24"/>
                <w:szCs w:val="24"/>
              </w:rPr>
              <w:t>Condiciones específicas en relación al seguimiento intermedio</w:t>
            </w:r>
          </w:p>
        </w:tc>
        <w:tc>
          <w:tcPr>
            <w:tcW w:w="5830" w:type="dxa"/>
            <w:vAlign w:val="center"/>
          </w:tcPr>
          <w:p w14:paraId="241947BC" w14:textId="4B195A9E" w:rsidR="00673029" w:rsidRPr="00CC47C0" w:rsidRDefault="00252817" w:rsidP="002454CE">
            <w:pPr>
              <w:jc w:val="both"/>
              <w:rPr>
                <w:rFonts w:cstheme="minorHAnsi"/>
                <w:sz w:val="24"/>
                <w:szCs w:val="24"/>
              </w:rPr>
            </w:pPr>
            <w:r w:rsidRPr="00CC47C0">
              <w:rPr>
                <w:rFonts w:cstheme="minorHAnsi"/>
                <w:color w:val="000000"/>
                <w:shd w:val="clear" w:color="auto" w:fill="FFFFFF"/>
              </w:rPr>
              <w:t xml:space="preserve">Artículo 11 del </w:t>
            </w:r>
            <w:r w:rsidR="00CC47C0" w:rsidRPr="00CC47C0">
              <w:rPr>
                <w:rFonts w:cstheme="minorHAnsi"/>
                <w:color w:val="000000"/>
                <w:shd w:val="clear" w:color="auto" w:fill="FFFFFF"/>
              </w:rPr>
              <w:t>instrumento</w:t>
            </w:r>
            <w:r w:rsidRPr="00CC47C0">
              <w:rPr>
                <w:rFonts w:cstheme="minorHAnsi"/>
                <w:color w:val="000000"/>
                <w:shd w:val="clear" w:color="auto" w:fill="FFFFFF"/>
              </w:rPr>
              <w:t xml:space="preserve"> jurídico</w:t>
            </w:r>
          </w:p>
        </w:tc>
      </w:tr>
      <w:tr w:rsidR="00252817" w14:paraId="67781802" w14:textId="77777777" w:rsidTr="007566F0">
        <w:tc>
          <w:tcPr>
            <w:tcW w:w="3910" w:type="dxa"/>
          </w:tcPr>
          <w:p w14:paraId="33666DBE" w14:textId="287A407B" w:rsidR="00252817" w:rsidRDefault="00252817" w:rsidP="00252817">
            <w:pPr>
              <w:jc w:val="both"/>
              <w:rPr>
                <w:b/>
                <w:bCs/>
                <w:sz w:val="24"/>
                <w:szCs w:val="24"/>
              </w:rPr>
            </w:pPr>
            <w:r>
              <w:rPr>
                <w:b/>
                <w:bCs/>
                <w:sz w:val="24"/>
                <w:szCs w:val="24"/>
              </w:rPr>
              <w:t>Beneficiario</w:t>
            </w:r>
          </w:p>
        </w:tc>
        <w:tc>
          <w:tcPr>
            <w:tcW w:w="5830" w:type="dxa"/>
          </w:tcPr>
          <w:p w14:paraId="7B8CE69D" w14:textId="75087B42" w:rsidR="00252817" w:rsidRPr="00CC47C0" w:rsidRDefault="00252817" w:rsidP="00252817">
            <w:pPr>
              <w:jc w:val="both"/>
              <w:rPr>
                <w:rFonts w:cstheme="minorHAnsi"/>
                <w:color w:val="000000"/>
                <w:shd w:val="clear" w:color="auto" w:fill="FFFFFF"/>
              </w:rPr>
            </w:pPr>
            <w:r w:rsidRPr="00CC47C0">
              <w:rPr>
                <w:rFonts w:cstheme="minorHAnsi"/>
                <w:color w:val="000000"/>
                <w:shd w:val="clear" w:color="auto" w:fill="FFFFFF"/>
              </w:rPr>
              <w:t>Telefónica de España, SAU</w:t>
            </w:r>
          </w:p>
        </w:tc>
      </w:tr>
    </w:tbl>
    <w:p w14:paraId="45BF1565" w14:textId="77777777" w:rsidR="00673029" w:rsidRDefault="00673029" w:rsidP="001A4255"/>
    <w:tbl>
      <w:tblPr>
        <w:tblStyle w:val="Tablaconcuadrcula"/>
        <w:tblW w:w="0" w:type="auto"/>
        <w:tblLook w:val="04A0" w:firstRow="1" w:lastRow="0" w:firstColumn="1" w:lastColumn="0" w:noHBand="0" w:noVBand="1"/>
      </w:tblPr>
      <w:tblGrid>
        <w:gridCol w:w="9740"/>
      </w:tblGrid>
      <w:tr w:rsidR="00927DD7" w14:paraId="178BFE5B" w14:textId="77777777" w:rsidTr="002454CE">
        <w:tc>
          <w:tcPr>
            <w:tcW w:w="9740" w:type="dxa"/>
          </w:tcPr>
          <w:p w14:paraId="15CDE9B8" w14:textId="4DB043BB" w:rsidR="00927DD7" w:rsidRDefault="00927DD7" w:rsidP="00B3745B">
            <w:pPr>
              <w:jc w:val="both"/>
              <w:rPr>
                <w:sz w:val="28"/>
                <w:szCs w:val="28"/>
              </w:rPr>
            </w:pPr>
            <w:r w:rsidRPr="00294052">
              <w:rPr>
                <w:sz w:val="28"/>
                <w:szCs w:val="28"/>
              </w:rPr>
              <w:t xml:space="preserve">En esta memoria se describen las acciones llevadas a cabo por </w:t>
            </w:r>
            <w:r w:rsidR="007566F0">
              <w:rPr>
                <w:rFonts w:ascii="Verdana" w:hAnsi="Verdana"/>
                <w:color w:val="000000"/>
                <w:shd w:val="clear" w:color="auto" w:fill="FFFFFF"/>
              </w:rPr>
              <w:t>Telefónica de España, SAU</w:t>
            </w:r>
            <w:r w:rsidRPr="00294052">
              <w:rPr>
                <w:sz w:val="28"/>
                <w:szCs w:val="28"/>
              </w:rPr>
              <w:t xml:space="preserve"> </w:t>
            </w:r>
            <w:r w:rsidR="007566F0">
              <w:rPr>
                <w:sz w:val="28"/>
                <w:szCs w:val="28"/>
              </w:rPr>
              <w:t xml:space="preserve">que justifiquen </w:t>
            </w:r>
            <w:r w:rsidR="00B3745B" w:rsidRPr="00B3745B">
              <w:rPr>
                <w:sz w:val="28"/>
                <w:szCs w:val="28"/>
              </w:rPr>
              <w:t>el cumplimiento de los hitos</w:t>
            </w:r>
            <w:r w:rsidR="00B3745B">
              <w:rPr>
                <w:sz w:val="28"/>
                <w:szCs w:val="28"/>
              </w:rPr>
              <w:t xml:space="preserve"> </w:t>
            </w:r>
            <w:r w:rsidR="00B3745B" w:rsidRPr="00B3745B">
              <w:rPr>
                <w:sz w:val="28"/>
                <w:szCs w:val="28"/>
              </w:rPr>
              <w:t>intermedios propuestos en la memoria de la solicitud, con indicación de las actuaciones</w:t>
            </w:r>
            <w:r w:rsidR="00B3745B">
              <w:rPr>
                <w:sz w:val="28"/>
                <w:szCs w:val="28"/>
              </w:rPr>
              <w:t xml:space="preserve"> </w:t>
            </w:r>
            <w:r w:rsidR="00B3745B" w:rsidRPr="00B3745B">
              <w:rPr>
                <w:sz w:val="28"/>
                <w:szCs w:val="28"/>
              </w:rPr>
              <w:t>realizadas, de los resultados obtenidos y del grado de cumplimiento de los compromisos</w:t>
            </w:r>
            <w:r w:rsidR="00B3745B">
              <w:rPr>
                <w:sz w:val="28"/>
                <w:szCs w:val="28"/>
              </w:rPr>
              <w:t xml:space="preserve"> </w:t>
            </w:r>
            <w:r w:rsidR="00B3745B" w:rsidRPr="00B3745B">
              <w:rPr>
                <w:sz w:val="28"/>
                <w:szCs w:val="28"/>
              </w:rPr>
              <w:t>asumidos</w:t>
            </w:r>
            <w:r w:rsidR="00B3745B">
              <w:rPr>
                <w:sz w:val="28"/>
                <w:szCs w:val="28"/>
              </w:rPr>
              <w:t>.</w:t>
            </w:r>
            <w:r w:rsidRPr="00294052">
              <w:rPr>
                <w:sz w:val="28"/>
                <w:szCs w:val="28"/>
              </w:rPr>
              <w:t xml:space="preserve"> </w:t>
            </w:r>
          </w:p>
        </w:tc>
      </w:tr>
    </w:tbl>
    <w:p w14:paraId="70A9999C" w14:textId="3101C3F5" w:rsidR="00927DD7" w:rsidRDefault="00927DD7" w:rsidP="00927DD7">
      <w:pPr>
        <w:jc w:val="both"/>
        <w:rPr>
          <w:highlight w:val="yellow"/>
        </w:rPr>
      </w:pPr>
    </w:p>
    <w:p w14:paraId="795CE880" w14:textId="77777777" w:rsidR="0016695A" w:rsidRDefault="0016695A" w:rsidP="0016695A">
      <w:pPr>
        <w:jc w:val="both"/>
      </w:pPr>
    </w:p>
    <w:p w14:paraId="7C50792C" w14:textId="6B76C9F7" w:rsidR="0016695A" w:rsidRPr="006014B0" w:rsidRDefault="00B84042" w:rsidP="0016695A">
      <w:pPr>
        <w:jc w:val="both"/>
        <w:rPr>
          <w:b/>
          <w:bCs/>
        </w:rPr>
      </w:pPr>
      <w:r>
        <w:rPr>
          <w:b/>
          <w:bCs/>
        </w:rPr>
        <w:t>Apartado</w:t>
      </w:r>
      <w:r w:rsidR="0016695A">
        <w:rPr>
          <w:b/>
          <w:bCs/>
        </w:rPr>
        <w:t xml:space="preserve"> </w:t>
      </w:r>
      <w:proofErr w:type="spellStart"/>
      <w:r w:rsidR="0016695A">
        <w:rPr>
          <w:b/>
          <w:bCs/>
        </w:rPr>
        <w:t>nº</w:t>
      </w:r>
      <w:proofErr w:type="spellEnd"/>
      <w:r w:rsidR="0016695A">
        <w:rPr>
          <w:b/>
          <w:bCs/>
        </w:rPr>
        <w:t xml:space="preserve"> 1: </w:t>
      </w:r>
      <w:r w:rsidR="0016695A" w:rsidRPr="006014B0">
        <w:rPr>
          <w:b/>
          <w:bCs/>
        </w:rPr>
        <w:t xml:space="preserve"> </w:t>
      </w:r>
    </w:p>
    <w:p w14:paraId="6B67CEDC" w14:textId="3E945D94" w:rsidR="00927DD7" w:rsidRDefault="004B23EF" w:rsidP="006D2581">
      <w:pPr>
        <w:jc w:val="both"/>
      </w:pPr>
      <w:r>
        <w:t xml:space="preserve">– </w:t>
      </w:r>
      <w:r w:rsidR="00C16D8C">
        <w:t>A</w:t>
      </w:r>
      <w:r w:rsidR="00CC47C0" w:rsidRPr="00CC47C0">
        <w:t>dquisición de equipos, componentes, integraciones de sistemas y software asociado a proveedores ubicados en la Unión Europea</w:t>
      </w:r>
      <w:r>
        <w:t xml:space="preserve">  </w:t>
      </w:r>
    </w:p>
    <w:p w14:paraId="4BD53C3F" w14:textId="73047B99" w:rsidR="00A36D56" w:rsidRPr="00591BED" w:rsidRDefault="00C16D8C" w:rsidP="006D2581">
      <w:pPr>
        <w:jc w:val="both"/>
      </w:pPr>
      <w:r>
        <w:rPr>
          <w:highlight w:val="yellow"/>
        </w:rPr>
        <w:t>INDIQUE LA RAZÓN Y DOMICILIO SOCIAL DEL FABRICANTE</w:t>
      </w:r>
      <w:r w:rsidR="00A36D56" w:rsidRPr="0063704A">
        <w:rPr>
          <w:highlight w:val="yellow"/>
        </w:rPr>
        <w:t xml:space="preserve"> </w:t>
      </w:r>
      <w:r>
        <w:rPr>
          <w:highlight w:val="yellow"/>
        </w:rPr>
        <w:t>DE LOS EQUIPOS</w:t>
      </w:r>
      <w:r w:rsidRPr="00C16D8C">
        <w:rPr>
          <w:highlight w:val="yellow"/>
        </w:rPr>
        <w:t xml:space="preserve"> ADQUIRIDOS O EN PREVISIÓN DE ADQUISICIÓN</w:t>
      </w:r>
    </w:p>
    <w:p w14:paraId="7F4E4E15" w14:textId="6854A6DB" w:rsidR="000E22EC" w:rsidRDefault="000E22EC">
      <w:pPr>
        <w:rPr>
          <w:b/>
          <w:bCs/>
        </w:rPr>
      </w:pPr>
    </w:p>
    <w:p w14:paraId="1DDC570A" w14:textId="56E87BAE" w:rsidR="000E22EC" w:rsidRDefault="00B84042" w:rsidP="000E22EC">
      <w:pPr>
        <w:jc w:val="both"/>
        <w:rPr>
          <w:b/>
          <w:bCs/>
        </w:rPr>
      </w:pPr>
      <w:r>
        <w:rPr>
          <w:b/>
          <w:bCs/>
        </w:rPr>
        <w:t>Apartado</w:t>
      </w:r>
      <w:r w:rsidR="000E22EC">
        <w:rPr>
          <w:b/>
          <w:bCs/>
        </w:rPr>
        <w:t xml:space="preserve"> nº </w:t>
      </w:r>
      <w:r>
        <w:rPr>
          <w:b/>
          <w:bCs/>
        </w:rPr>
        <w:t>2</w:t>
      </w:r>
      <w:r w:rsidR="000E22EC">
        <w:rPr>
          <w:b/>
          <w:bCs/>
        </w:rPr>
        <w:t xml:space="preserve">: </w:t>
      </w:r>
      <w:r w:rsidR="000E22EC" w:rsidRPr="006014B0">
        <w:rPr>
          <w:b/>
          <w:bCs/>
        </w:rPr>
        <w:t xml:space="preserve"> </w:t>
      </w:r>
    </w:p>
    <w:p w14:paraId="45832D4F" w14:textId="0A2E6484" w:rsidR="000E22EC" w:rsidRDefault="000E22EC" w:rsidP="000E22EC">
      <w:pPr>
        <w:jc w:val="both"/>
      </w:pPr>
      <w:r>
        <w:t xml:space="preserve">– Relación de equipos adquiridos </w:t>
      </w:r>
    </w:p>
    <w:p w14:paraId="65FAF7CD" w14:textId="77777777" w:rsidR="000E22EC" w:rsidRDefault="000E22EC" w:rsidP="000E22EC">
      <w:pPr>
        <w:jc w:val="both"/>
        <w:rPr>
          <w:highlight w:val="yellow"/>
        </w:rPr>
      </w:pPr>
      <w:r>
        <w:rPr>
          <w:highlight w:val="yellow"/>
        </w:rPr>
        <w:t>DESCRIBA</w:t>
      </w:r>
      <w:r w:rsidRPr="0063704A">
        <w:rPr>
          <w:highlight w:val="yellow"/>
        </w:rPr>
        <w:t xml:space="preserve"> CON DETALLE SUFICIENTE Y REFERENCIAS PERTINENTES </w:t>
      </w:r>
      <w:r>
        <w:rPr>
          <w:highlight w:val="yellow"/>
        </w:rPr>
        <w:t xml:space="preserve">LA SIGUIENTE INFORMACIÓN: </w:t>
      </w:r>
    </w:p>
    <w:p w14:paraId="45C751E0" w14:textId="1C6DA8DC" w:rsidR="000E22EC" w:rsidRPr="000E22EC" w:rsidRDefault="000E22EC" w:rsidP="000E22EC">
      <w:pPr>
        <w:spacing w:after="60"/>
        <w:ind w:firstLine="709"/>
        <w:jc w:val="both"/>
        <w:rPr>
          <w:highlight w:val="yellow"/>
        </w:rPr>
      </w:pPr>
      <w:r w:rsidRPr="000E22EC">
        <w:rPr>
          <w:highlight w:val="yellow"/>
        </w:rPr>
        <w:t>- IDENTIFICADOR ÚNICO DEL EQUIPO</w:t>
      </w:r>
    </w:p>
    <w:p w14:paraId="57A844C8" w14:textId="77777777" w:rsidR="000E22EC" w:rsidRPr="000E22EC" w:rsidRDefault="000E22EC" w:rsidP="000E22EC">
      <w:pPr>
        <w:spacing w:after="60"/>
        <w:ind w:firstLine="709"/>
        <w:jc w:val="both"/>
        <w:rPr>
          <w:highlight w:val="yellow"/>
        </w:rPr>
      </w:pPr>
      <w:r w:rsidRPr="000E22EC">
        <w:rPr>
          <w:highlight w:val="yellow"/>
        </w:rPr>
        <w:t>- TIPO DE EQUIPO (REPETIDOR / ECUALIZADOR)</w:t>
      </w:r>
    </w:p>
    <w:p w14:paraId="35F3C95A" w14:textId="6374C5EA" w:rsidR="000E22EC" w:rsidRPr="000E22EC" w:rsidRDefault="000E22EC" w:rsidP="000E22EC">
      <w:pPr>
        <w:spacing w:after="60"/>
        <w:ind w:firstLine="709"/>
        <w:jc w:val="both"/>
        <w:rPr>
          <w:highlight w:val="yellow"/>
        </w:rPr>
      </w:pPr>
      <w:r w:rsidRPr="000E22EC">
        <w:rPr>
          <w:highlight w:val="yellow"/>
        </w:rPr>
        <w:t>- FECHA DE FABRICACIÓN</w:t>
      </w:r>
    </w:p>
    <w:p w14:paraId="663CBB43" w14:textId="1E0CC6DF" w:rsidR="000E22EC" w:rsidRPr="000E22EC" w:rsidRDefault="000E22EC" w:rsidP="000E22EC">
      <w:pPr>
        <w:spacing w:after="60"/>
        <w:ind w:firstLine="709"/>
        <w:jc w:val="both"/>
        <w:rPr>
          <w:highlight w:val="yellow"/>
        </w:rPr>
      </w:pPr>
      <w:r w:rsidRPr="000E22EC">
        <w:rPr>
          <w:highlight w:val="yellow"/>
        </w:rPr>
        <w:t>- FECHA DE ADQUISICIÓN</w:t>
      </w:r>
    </w:p>
    <w:p w14:paraId="3C258A24" w14:textId="2403B292" w:rsidR="000E22EC" w:rsidRPr="000E22EC" w:rsidRDefault="000E22EC" w:rsidP="000E22EC">
      <w:pPr>
        <w:spacing w:after="60"/>
        <w:ind w:firstLine="709"/>
        <w:jc w:val="both"/>
        <w:rPr>
          <w:highlight w:val="yellow"/>
        </w:rPr>
      </w:pPr>
      <w:r w:rsidRPr="000E22EC">
        <w:rPr>
          <w:highlight w:val="yellow"/>
        </w:rPr>
        <w:t xml:space="preserve">- </w:t>
      </w:r>
      <w:r w:rsidR="00B84042">
        <w:rPr>
          <w:highlight w:val="yellow"/>
        </w:rPr>
        <w:t>CARACTERÍSTICAS TÉCNICAS PRINCIPALES</w:t>
      </w:r>
    </w:p>
    <w:p w14:paraId="219FF37F" w14:textId="08F0D17C" w:rsidR="00443107" w:rsidRDefault="00443107" w:rsidP="00443107">
      <w:pPr>
        <w:spacing w:after="60"/>
        <w:ind w:firstLine="709"/>
        <w:jc w:val="both"/>
        <w:rPr>
          <w:highlight w:val="yellow"/>
        </w:rPr>
      </w:pPr>
      <w:r w:rsidRPr="00443107">
        <w:rPr>
          <w:highlight w:val="yellow"/>
        </w:rPr>
        <w:t>- IMPORTE DESGLOSADO</w:t>
      </w:r>
    </w:p>
    <w:p w14:paraId="19A1359A" w14:textId="77777777" w:rsidR="00906458" w:rsidRDefault="00906458" w:rsidP="00443107">
      <w:pPr>
        <w:spacing w:after="60"/>
        <w:ind w:firstLine="709"/>
        <w:jc w:val="both"/>
        <w:rPr>
          <w:highlight w:val="yellow"/>
        </w:rPr>
      </w:pPr>
    </w:p>
    <w:p w14:paraId="52D5F94A" w14:textId="4D0B42B5" w:rsidR="00443107" w:rsidRDefault="00B84042" w:rsidP="00443107">
      <w:pPr>
        <w:jc w:val="both"/>
        <w:rPr>
          <w:b/>
          <w:bCs/>
        </w:rPr>
      </w:pPr>
      <w:r>
        <w:rPr>
          <w:b/>
          <w:bCs/>
        </w:rPr>
        <w:lastRenderedPageBreak/>
        <w:t>Apartado</w:t>
      </w:r>
      <w:r w:rsidR="00443107">
        <w:rPr>
          <w:b/>
          <w:bCs/>
        </w:rPr>
        <w:t xml:space="preserve"> </w:t>
      </w:r>
      <w:proofErr w:type="spellStart"/>
      <w:r w:rsidR="00443107">
        <w:rPr>
          <w:b/>
          <w:bCs/>
        </w:rPr>
        <w:t>nº</w:t>
      </w:r>
      <w:proofErr w:type="spellEnd"/>
      <w:r w:rsidR="00443107">
        <w:rPr>
          <w:b/>
          <w:bCs/>
        </w:rPr>
        <w:t xml:space="preserve"> </w:t>
      </w:r>
      <w:r>
        <w:rPr>
          <w:b/>
          <w:bCs/>
        </w:rPr>
        <w:t>3</w:t>
      </w:r>
      <w:r w:rsidR="00443107">
        <w:rPr>
          <w:b/>
          <w:bCs/>
        </w:rPr>
        <w:t xml:space="preserve">: </w:t>
      </w:r>
      <w:r w:rsidR="00443107" w:rsidRPr="006014B0">
        <w:rPr>
          <w:b/>
          <w:bCs/>
        </w:rPr>
        <w:t xml:space="preserve"> </w:t>
      </w:r>
    </w:p>
    <w:p w14:paraId="75C97E25" w14:textId="304B1FAF" w:rsidR="00443107" w:rsidRDefault="00443107" w:rsidP="00443107">
      <w:pPr>
        <w:jc w:val="both"/>
      </w:pPr>
      <w:r>
        <w:t xml:space="preserve">– </w:t>
      </w:r>
      <w:r w:rsidR="00906458">
        <w:t xml:space="preserve">Memoria </w:t>
      </w:r>
      <w:r w:rsidR="00B84042">
        <w:t>económic</w:t>
      </w:r>
      <w:r w:rsidR="00906458">
        <w:t>a</w:t>
      </w:r>
    </w:p>
    <w:p w14:paraId="4DF951B8" w14:textId="2EC16E29" w:rsidR="00443107" w:rsidRDefault="00443107" w:rsidP="00443107">
      <w:pPr>
        <w:jc w:val="both"/>
        <w:rPr>
          <w:highlight w:val="yellow"/>
        </w:rPr>
      </w:pPr>
      <w:r>
        <w:rPr>
          <w:highlight w:val="yellow"/>
        </w:rPr>
        <w:t>DESCRIBA</w:t>
      </w:r>
      <w:r w:rsidRPr="0063704A">
        <w:rPr>
          <w:highlight w:val="yellow"/>
        </w:rPr>
        <w:t xml:space="preserve"> CON DETALLE SUFICIENTE Y REFERENCIAS PERTINENTES </w:t>
      </w:r>
      <w:r w:rsidR="0055694F">
        <w:rPr>
          <w:highlight w:val="yellow"/>
        </w:rPr>
        <w:t>EL VOLUMEN DE EQUIPOS ADQUIRIDOS A FECHA DE SEGUIMIENTO</w:t>
      </w:r>
      <w:r w:rsidR="00906458">
        <w:rPr>
          <w:highlight w:val="yellow"/>
        </w:rPr>
        <w:t xml:space="preserve">, </w:t>
      </w:r>
      <w:r w:rsidR="0016695A">
        <w:rPr>
          <w:highlight w:val="yellow"/>
        </w:rPr>
        <w:t xml:space="preserve">LA </w:t>
      </w:r>
      <w:r w:rsidR="0055694F">
        <w:rPr>
          <w:highlight w:val="yellow"/>
        </w:rPr>
        <w:t>PLANIFICACIÓN DE ADQUISICIONES HASTA LA FINALIZACIÓN DEL PROYECTO</w:t>
      </w:r>
      <w:r w:rsidR="00906458">
        <w:rPr>
          <w:highlight w:val="yellow"/>
        </w:rPr>
        <w:t xml:space="preserve">, </w:t>
      </w:r>
      <w:r w:rsidR="00906458">
        <w:rPr>
          <w:highlight w:val="yellow"/>
        </w:rPr>
        <w:t xml:space="preserve">EL PORCENTAJE </w:t>
      </w:r>
      <w:r w:rsidR="00906458">
        <w:rPr>
          <w:highlight w:val="yellow"/>
        </w:rPr>
        <w:t xml:space="preserve">DE PRESUPUESTO CONSUMIDO </w:t>
      </w:r>
      <w:r w:rsidR="00906458">
        <w:rPr>
          <w:highlight w:val="yellow"/>
        </w:rPr>
        <w:t>RESPECTO AL PRESUPUESTO TOTAL FINANCIABLE</w:t>
      </w:r>
      <w:r w:rsidR="00906458">
        <w:rPr>
          <w:highlight w:val="yellow"/>
        </w:rPr>
        <w:t>,</w:t>
      </w:r>
      <w:r w:rsidR="00906458">
        <w:rPr>
          <w:highlight w:val="yellow"/>
        </w:rPr>
        <w:t xml:space="preserve"> Y LA PLANIFICACIÓN DE EJECUCIÓN </w:t>
      </w:r>
      <w:r w:rsidR="00906458">
        <w:rPr>
          <w:highlight w:val="yellow"/>
        </w:rPr>
        <w:t xml:space="preserve">PRESUPUESTARIA </w:t>
      </w:r>
      <w:r w:rsidR="00906458">
        <w:rPr>
          <w:highlight w:val="yellow"/>
        </w:rPr>
        <w:t>HASTA LA FINALIZACIÓN DEL PROYECTO</w:t>
      </w:r>
    </w:p>
    <w:p w14:paraId="151D4C75" w14:textId="77777777" w:rsidR="0055694F" w:rsidRDefault="0055694F" w:rsidP="006D2581">
      <w:pPr>
        <w:jc w:val="both"/>
      </w:pPr>
    </w:p>
    <w:p w14:paraId="40F88F21" w14:textId="4994CC81" w:rsidR="0055694F" w:rsidRDefault="00906458" w:rsidP="0055694F">
      <w:pPr>
        <w:jc w:val="both"/>
        <w:rPr>
          <w:b/>
          <w:bCs/>
        </w:rPr>
      </w:pPr>
      <w:r>
        <w:rPr>
          <w:b/>
          <w:bCs/>
        </w:rPr>
        <w:t>Apartado</w:t>
      </w:r>
      <w:r w:rsidR="0055694F">
        <w:rPr>
          <w:b/>
          <w:bCs/>
        </w:rPr>
        <w:t xml:space="preserve"> </w:t>
      </w:r>
      <w:proofErr w:type="spellStart"/>
      <w:r w:rsidR="0055694F">
        <w:rPr>
          <w:b/>
          <w:bCs/>
        </w:rPr>
        <w:t>nº</w:t>
      </w:r>
      <w:proofErr w:type="spellEnd"/>
      <w:r w:rsidR="0055694F">
        <w:rPr>
          <w:b/>
          <w:bCs/>
        </w:rPr>
        <w:t xml:space="preserve"> </w:t>
      </w:r>
      <w:r>
        <w:rPr>
          <w:b/>
          <w:bCs/>
        </w:rPr>
        <w:t>4</w:t>
      </w:r>
      <w:r w:rsidR="0055694F">
        <w:rPr>
          <w:b/>
          <w:bCs/>
        </w:rPr>
        <w:t xml:space="preserve">: </w:t>
      </w:r>
      <w:r w:rsidR="0055694F" w:rsidRPr="006014B0">
        <w:rPr>
          <w:b/>
          <w:bCs/>
        </w:rPr>
        <w:t xml:space="preserve"> </w:t>
      </w:r>
    </w:p>
    <w:p w14:paraId="1A97B22B" w14:textId="4F2E7554" w:rsidR="0055694F" w:rsidRDefault="0055694F" w:rsidP="0055694F">
      <w:pPr>
        <w:jc w:val="both"/>
      </w:pPr>
      <w:r>
        <w:t xml:space="preserve">– Pruebas de </w:t>
      </w:r>
      <w:r w:rsidR="009E6474">
        <w:t>validación</w:t>
      </w:r>
    </w:p>
    <w:p w14:paraId="18204CDB" w14:textId="4C61CABD" w:rsidR="0055694F" w:rsidRDefault="0055694F" w:rsidP="0055694F">
      <w:pPr>
        <w:jc w:val="both"/>
        <w:rPr>
          <w:highlight w:val="yellow"/>
        </w:rPr>
      </w:pPr>
      <w:r>
        <w:rPr>
          <w:highlight w:val="yellow"/>
        </w:rPr>
        <w:t>DESCRIBA</w:t>
      </w:r>
      <w:r w:rsidRPr="0063704A">
        <w:rPr>
          <w:highlight w:val="yellow"/>
        </w:rPr>
        <w:t xml:space="preserve"> C</w:t>
      </w:r>
      <w:r w:rsidRPr="009E6474">
        <w:rPr>
          <w:highlight w:val="yellow"/>
        </w:rPr>
        <w:t xml:space="preserve">ON DETALLE SUFICIENTE Y REFERENCIAS PERTINENTES </w:t>
      </w:r>
      <w:r w:rsidR="009E6474" w:rsidRPr="009E6474">
        <w:rPr>
          <w:highlight w:val="yellow"/>
        </w:rPr>
        <w:t xml:space="preserve">EL </w:t>
      </w:r>
      <w:r w:rsidR="009E6474">
        <w:rPr>
          <w:highlight w:val="yellow"/>
        </w:rPr>
        <w:t>P</w:t>
      </w:r>
      <w:r w:rsidR="009E6474" w:rsidRPr="009E6474">
        <w:rPr>
          <w:highlight w:val="yellow"/>
        </w:rPr>
        <w:t>ROCEDIMIENTO DE VALIDACIÓN TÉCNICA PARA CERTIFICAR QUE LOS EQUIPOS ADQUIRIDOS CUMPLEN LAS CONDICIONES NECESARIAS</w:t>
      </w:r>
    </w:p>
    <w:p w14:paraId="5EAB8116" w14:textId="77777777" w:rsidR="00906458" w:rsidRDefault="00906458" w:rsidP="0055694F">
      <w:pPr>
        <w:jc w:val="both"/>
        <w:rPr>
          <w:highlight w:val="yellow"/>
        </w:rPr>
      </w:pPr>
    </w:p>
    <w:p w14:paraId="4BAD4B69" w14:textId="00DA47CB" w:rsidR="009E6474" w:rsidRDefault="00906458" w:rsidP="009E6474">
      <w:pPr>
        <w:jc w:val="both"/>
        <w:rPr>
          <w:b/>
          <w:bCs/>
        </w:rPr>
      </w:pPr>
      <w:r>
        <w:rPr>
          <w:b/>
          <w:bCs/>
        </w:rPr>
        <w:t xml:space="preserve">Apartado </w:t>
      </w:r>
      <w:proofErr w:type="spellStart"/>
      <w:r w:rsidR="009E6474">
        <w:rPr>
          <w:b/>
          <w:bCs/>
        </w:rPr>
        <w:t>nº</w:t>
      </w:r>
      <w:proofErr w:type="spellEnd"/>
      <w:r w:rsidR="009E6474">
        <w:rPr>
          <w:b/>
          <w:bCs/>
        </w:rPr>
        <w:t xml:space="preserve"> </w:t>
      </w:r>
      <w:r>
        <w:rPr>
          <w:b/>
          <w:bCs/>
        </w:rPr>
        <w:t>5</w:t>
      </w:r>
      <w:r w:rsidR="009E6474">
        <w:rPr>
          <w:b/>
          <w:bCs/>
        </w:rPr>
        <w:t xml:space="preserve">: </w:t>
      </w:r>
      <w:r w:rsidR="009E6474" w:rsidRPr="006014B0">
        <w:rPr>
          <w:b/>
          <w:bCs/>
        </w:rPr>
        <w:t xml:space="preserve"> </w:t>
      </w:r>
    </w:p>
    <w:p w14:paraId="5232CF37" w14:textId="1C086CED" w:rsidR="009E6474" w:rsidRDefault="009E6474" w:rsidP="009F113A">
      <w:pPr>
        <w:jc w:val="both"/>
      </w:pPr>
      <w:r>
        <w:t>– Publicidad</w:t>
      </w:r>
      <w:r w:rsidR="009F113A">
        <w:t>: La ayuda concedida está financiada por los fondos del Mecanismo de Recuperación y Resiliencia de la Unión Europea, establecido por el Reglamento del MRR, siendo por tanto de aplicación lo previsto en su artículo 34.2 en relación con las obligaciones de publicidad, que se especifican en el artículo 15 del Real Decreto 1124/2024.</w:t>
      </w:r>
    </w:p>
    <w:p w14:paraId="0244432E" w14:textId="581C4BA7" w:rsidR="009E6474" w:rsidRDefault="009E6474" w:rsidP="009E6474">
      <w:pPr>
        <w:jc w:val="both"/>
        <w:rPr>
          <w:highlight w:val="yellow"/>
        </w:rPr>
      </w:pPr>
      <w:r>
        <w:rPr>
          <w:highlight w:val="yellow"/>
        </w:rPr>
        <w:t>DESCRIBA</w:t>
      </w:r>
      <w:r w:rsidRPr="0063704A">
        <w:rPr>
          <w:highlight w:val="yellow"/>
        </w:rPr>
        <w:t xml:space="preserve"> C</w:t>
      </w:r>
      <w:r w:rsidRPr="009E6474">
        <w:rPr>
          <w:highlight w:val="yellow"/>
        </w:rPr>
        <w:t xml:space="preserve">ON DETALLE SUFICIENTE Y REFERENCIAS PERTINENTES </w:t>
      </w:r>
      <w:r w:rsidR="009F113A">
        <w:rPr>
          <w:highlight w:val="yellow"/>
        </w:rPr>
        <w:t xml:space="preserve">LAS ACCIONES LLEVADAS A CABO O PREVISTAS PARA DAR CUMPLIMIENTO A LAS OBLIGACIONES RESPESTO A LA PUBLICIDAD INSTITUCIONAL </w:t>
      </w:r>
    </w:p>
    <w:p w14:paraId="47DF7E83" w14:textId="7C48BE72" w:rsidR="009E6474" w:rsidRDefault="009E6474" w:rsidP="009E6474">
      <w:pPr>
        <w:jc w:val="both"/>
        <w:rPr>
          <w:highlight w:val="yellow"/>
        </w:rPr>
      </w:pPr>
    </w:p>
    <w:p w14:paraId="7922DC3E" w14:textId="671E1AA3" w:rsidR="009F113A" w:rsidRDefault="00906458" w:rsidP="009F113A">
      <w:pPr>
        <w:jc w:val="both"/>
        <w:rPr>
          <w:b/>
          <w:bCs/>
        </w:rPr>
      </w:pPr>
      <w:r>
        <w:rPr>
          <w:b/>
          <w:bCs/>
        </w:rPr>
        <w:t xml:space="preserve">Apartado </w:t>
      </w:r>
      <w:proofErr w:type="spellStart"/>
      <w:r w:rsidR="009F113A">
        <w:rPr>
          <w:b/>
          <w:bCs/>
        </w:rPr>
        <w:t>nº</w:t>
      </w:r>
      <w:proofErr w:type="spellEnd"/>
      <w:r w:rsidR="009F113A">
        <w:rPr>
          <w:b/>
          <w:bCs/>
        </w:rPr>
        <w:t xml:space="preserve"> </w:t>
      </w:r>
      <w:r>
        <w:rPr>
          <w:b/>
          <w:bCs/>
        </w:rPr>
        <w:t>6</w:t>
      </w:r>
      <w:r w:rsidR="009F113A">
        <w:rPr>
          <w:b/>
          <w:bCs/>
        </w:rPr>
        <w:t xml:space="preserve">: </w:t>
      </w:r>
      <w:r w:rsidR="009F113A" w:rsidRPr="006014B0">
        <w:rPr>
          <w:b/>
          <w:bCs/>
        </w:rPr>
        <w:t xml:space="preserve"> </w:t>
      </w:r>
    </w:p>
    <w:p w14:paraId="49682079" w14:textId="3E7AF553" w:rsidR="009F113A" w:rsidRDefault="009F113A" w:rsidP="009F113A">
      <w:pPr>
        <w:jc w:val="both"/>
      </w:pPr>
      <w:r>
        <w:t>– Acceso mayorista: El proyecto debe garantizar el acceso mayorista abierto de terceros, incluida la desagregación, en condiciones equitativas, razonables y no discriminatorias de conformidad con el artículo 52, apartados 7 y 8 del Reglamento (UE) 651/2014 de la Comisión, de 17 de junio de 2014, por el que se declaran determinadas categorías de ayuda compatibles con el mercado común en aplicación de los artículos 107 y 108 del Tratado (Reglamento General de Exención por Categorías).</w:t>
      </w:r>
    </w:p>
    <w:p w14:paraId="3AB295CD" w14:textId="0BC44420" w:rsidR="009F113A" w:rsidRDefault="009F113A" w:rsidP="009F113A">
      <w:pPr>
        <w:jc w:val="both"/>
        <w:rPr>
          <w:highlight w:val="yellow"/>
        </w:rPr>
      </w:pPr>
      <w:r>
        <w:rPr>
          <w:highlight w:val="yellow"/>
        </w:rPr>
        <w:t>DESCRIBA</w:t>
      </w:r>
      <w:r w:rsidRPr="0063704A">
        <w:rPr>
          <w:highlight w:val="yellow"/>
        </w:rPr>
        <w:t xml:space="preserve"> C</w:t>
      </w:r>
      <w:r w:rsidRPr="009E6474">
        <w:rPr>
          <w:highlight w:val="yellow"/>
        </w:rPr>
        <w:t xml:space="preserve">ON DETALLE SUFICIENTE Y REFERENCIAS PERTINENTES </w:t>
      </w:r>
      <w:r>
        <w:rPr>
          <w:highlight w:val="yellow"/>
        </w:rPr>
        <w:t>LA</w:t>
      </w:r>
      <w:r w:rsidR="0016695A">
        <w:rPr>
          <w:highlight w:val="yellow"/>
        </w:rPr>
        <w:t xml:space="preserve"> PREVISIÓN SOBRE LOS TÉRMINOS, CONDICIONES Y PÁGINA WEB EN LOS QUE SE OFERTARÁ</w:t>
      </w:r>
      <w:r w:rsidR="00361FEF">
        <w:rPr>
          <w:highlight w:val="yellow"/>
        </w:rPr>
        <w:t>N LOS SERVICIOS DE ACCESO MAYORISTA</w:t>
      </w:r>
    </w:p>
    <w:p w14:paraId="217A5352" w14:textId="0468816D" w:rsidR="00A36D56" w:rsidRDefault="00A36D56" w:rsidP="00A355FC"/>
    <w:p w14:paraId="20BD92C2" w14:textId="1EAC2E52" w:rsidR="00B84042" w:rsidRDefault="00B84042" w:rsidP="00B84042">
      <w:pPr>
        <w:jc w:val="both"/>
        <w:rPr>
          <w:b/>
          <w:bCs/>
        </w:rPr>
      </w:pPr>
      <w:r>
        <w:rPr>
          <w:b/>
          <w:bCs/>
        </w:rPr>
        <w:t xml:space="preserve">Apartado </w:t>
      </w:r>
      <w:proofErr w:type="spellStart"/>
      <w:r>
        <w:rPr>
          <w:b/>
          <w:bCs/>
        </w:rPr>
        <w:t>nº</w:t>
      </w:r>
      <w:proofErr w:type="spellEnd"/>
      <w:r>
        <w:rPr>
          <w:b/>
          <w:bCs/>
        </w:rPr>
        <w:t xml:space="preserve"> </w:t>
      </w:r>
      <w:r w:rsidR="00906458">
        <w:rPr>
          <w:b/>
          <w:bCs/>
        </w:rPr>
        <w:t>7</w:t>
      </w:r>
      <w:r>
        <w:rPr>
          <w:b/>
          <w:bCs/>
        </w:rPr>
        <w:t xml:space="preserve">: </w:t>
      </w:r>
      <w:r w:rsidRPr="006014B0">
        <w:rPr>
          <w:b/>
          <w:bCs/>
        </w:rPr>
        <w:t xml:space="preserve"> </w:t>
      </w:r>
    </w:p>
    <w:p w14:paraId="3483D84A" w14:textId="5F848EEB" w:rsidR="00361FEF" w:rsidRDefault="00B84042" w:rsidP="00A355FC">
      <w:pPr>
        <w:rPr>
          <w:rFonts w:ascii="Calibri" w:hAnsi="Calibri" w:cs="Calibri"/>
          <w:color w:val="000000"/>
        </w:rPr>
      </w:pPr>
      <w:r>
        <w:t xml:space="preserve">– </w:t>
      </w:r>
      <w:r>
        <w:rPr>
          <w:rFonts w:ascii="Calibri" w:hAnsi="Calibri" w:cs="Calibri"/>
          <w:color w:val="000000"/>
        </w:rPr>
        <w:t>Otras consideraciones o puntos relevantes</w:t>
      </w:r>
    </w:p>
    <w:p w14:paraId="776FD640" w14:textId="23DE8CE4" w:rsidR="00906458" w:rsidRDefault="00906458" w:rsidP="00906458">
      <w:pPr>
        <w:jc w:val="both"/>
        <w:rPr>
          <w:highlight w:val="yellow"/>
        </w:rPr>
      </w:pPr>
      <w:r>
        <w:rPr>
          <w:highlight w:val="yellow"/>
        </w:rPr>
        <w:lastRenderedPageBreak/>
        <w:t>DESCRIBA</w:t>
      </w:r>
      <w:r w:rsidRPr="0063704A">
        <w:rPr>
          <w:highlight w:val="yellow"/>
        </w:rPr>
        <w:t xml:space="preserve"> C</w:t>
      </w:r>
      <w:r w:rsidRPr="009E6474">
        <w:rPr>
          <w:highlight w:val="yellow"/>
        </w:rPr>
        <w:t xml:space="preserve">ON DETALLE SUFICIENTE Y REFERENCIAS PERTINENTES </w:t>
      </w:r>
      <w:r>
        <w:rPr>
          <w:highlight w:val="yellow"/>
        </w:rPr>
        <w:t>CUALQUIER OTRA CUESTIÓN QUE ESTIME RELEVANTE PARA EL SEGUIMIENTO INTERMEDIO DEL PROYECTO.</w:t>
      </w:r>
    </w:p>
    <w:p w14:paraId="0D03D689" w14:textId="77777777" w:rsidR="00361FEF" w:rsidRDefault="00361FEF" w:rsidP="00A355FC"/>
    <w:p w14:paraId="6DF5D7CF" w14:textId="2BCFC2D9" w:rsidR="00441F9F" w:rsidRDefault="00441F9F" w:rsidP="00906458">
      <w:pPr>
        <w:ind w:left="708"/>
        <w:jc w:val="center"/>
      </w:pPr>
      <w:r>
        <w:rPr>
          <w:b/>
          <w:bCs/>
          <w:highlight w:val="yellow"/>
        </w:rPr>
        <w:t>Firma electrónica</w:t>
      </w:r>
    </w:p>
    <w:sectPr w:rsidR="00441F9F" w:rsidSect="000051D0">
      <w:head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AFA9" w14:textId="77777777" w:rsidR="00E51CF1" w:rsidRDefault="00E51CF1" w:rsidP="00E51CF1">
      <w:pPr>
        <w:spacing w:after="0" w:line="240" w:lineRule="auto"/>
      </w:pPr>
      <w:r>
        <w:separator/>
      </w:r>
    </w:p>
  </w:endnote>
  <w:endnote w:type="continuationSeparator" w:id="0">
    <w:p w14:paraId="34056A8B" w14:textId="77777777" w:rsidR="00E51CF1" w:rsidRDefault="00E51CF1" w:rsidP="00E5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altName w:val="Bahnschrift"/>
    <w:panose1 w:val="020B0502040204020203"/>
    <w:charset w:val="00"/>
    <w:family w:val="swiss"/>
    <w:pitch w:val="variable"/>
    <w:sig w:usb0="A00002C7" w:usb1="00000002" w:usb2="00000000" w:usb3="00000000" w:csb0="0000019F" w:csb1="00000000"/>
  </w:font>
  <w:font w:name="Arim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DC8F" w14:textId="77777777" w:rsidR="00E51CF1" w:rsidRDefault="00E51CF1" w:rsidP="00E51CF1">
      <w:pPr>
        <w:spacing w:after="0" w:line="240" w:lineRule="auto"/>
      </w:pPr>
      <w:r>
        <w:separator/>
      </w:r>
    </w:p>
  </w:footnote>
  <w:footnote w:type="continuationSeparator" w:id="0">
    <w:p w14:paraId="0273C002" w14:textId="77777777" w:rsidR="00E51CF1" w:rsidRDefault="00E51CF1" w:rsidP="00E5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441D" w14:textId="591DEC89" w:rsidR="00AF76B8" w:rsidRDefault="00AF76B8" w:rsidP="00AF76B8">
    <w:pPr>
      <w:pStyle w:val="Header10"/>
      <w:spacing w:before="0"/>
    </w:pPr>
    <w:r>
      <w:rPr>
        <w:noProof/>
      </w:rPr>
      <w:drawing>
        <wp:anchor distT="0" distB="0" distL="114300" distR="114300" simplePos="0" relativeHeight="251659264" behindDoc="0" locked="0" layoutInCell="1" allowOverlap="1" wp14:anchorId="03524137" wp14:editId="48195231">
          <wp:simplePos x="0" y="0"/>
          <wp:positionH relativeFrom="column">
            <wp:posOffset>3803650</wp:posOffset>
          </wp:positionH>
          <wp:positionV relativeFrom="paragraph">
            <wp:posOffset>16510</wp:posOffset>
          </wp:positionV>
          <wp:extent cx="1864360" cy="405130"/>
          <wp:effectExtent l="0" t="0" r="254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60" cy="405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59C8CF6" wp14:editId="3B98E171">
          <wp:simplePos x="0" y="0"/>
          <wp:positionH relativeFrom="column">
            <wp:posOffset>43815</wp:posOffset>
          </wp:positionH>
          <wp:positionV relativeFrom="paragraph">
            <wp:posOffset>13335</wp:posOffset>
          </wp:positionV>
          <wp:extent cx="1234440" cy="357505"/>
          <wp:effectExtent l="0" t="0" r="3810" b="4445"/>
          <wp:wrapThrough wrapText="bothSides">
            <wp:wrapPolygon edited="0">
              <wp:start x="0" y="0"/>
              <wp:lineTo x="0" y="20718"/>
              <wp:lineTo x="21333" y="20718"/>
              <wp:lineTo x="2133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3575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es-ES"/>
      </w:rPr>
      <w:drawing>
        <wp:inline distT="0" distB="0" distL="0" distR="0" wp14:anchorId="61D872C3" wp14:editId="123425A4">
          <wp:extent cx="2307417" cy="376887"/>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07417" cy="376887"/>
                  </a:xfrm>
                  <a:prstGeom prst="rect">
                    <a:avLst/>
                  </a:prstGeom>
                  <a:noFill/>
                  <a:ln>
                    <a:noFill/>
                  </a:ln>
                </pic:spPr>
              </pic:pic>
            </a:graphicData>
          </a:graphic>
        </wp:inline>
      </w:drawing>
    </w:r>
    <w:r>
      <w:rPr>
        <w:noProof/>
        <w:color w:val="1F497D"/>
        <w:shd w:val="clear" w:color="auto" w:fill="E6E6E6"/>
        <w:lang w:eastAsia="es-ES"/>
      </w:rPr>
      <w:t xml:space="preserve"> </w:t>
    </w:r>
  </w:p>
  <w:p w14:paraId="1D7318C5" w14:textId="77777777" w:rsidR="00AF76B8" w:rsidRDefault="00AF76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0E22EC"/>
    <w:rsid w:val="001331B7"/>
    <w:rsid w:val="0016695A"/>
    <w:rsid w:val="001A4255"/>
    <w:rsid w:val="001A6CD3"/>
    <w:rsid w:val="00205935"/>
    <w:rsid w:val="002415C9"/>
    <w:rsid w:val="00252817"/>
    <w:rsid w:val="002C365C"/>
    <w:rsid w:val="00361FEF"/>
    <w:rsid w:val="00367AA3"/>
    <w:rsid w:val="0038724F"/>
    <w:rsid w:val="003C4093"/>
    <w:rsid w:val="003F16A3"/>
    <w:rsid w:val="003F511F"/>
    <w:rsid w:val="00441F9F"/>
    <w:rsid w:val="00443107"/>
    <w:rsid w:val="00457F51"/>
    <w:rsid w:val="004B23EF"/>
    <w:rsid w:val="004E6C90"/>
    <w:rsid w:val="00551B8B"/>
    <w:rsid w:val="0055694F"/>
    <w:rsid w:val="005B3E26"/>
    <w:rsid w:val="005C5127"/>
    <w:rsid w:val="005C7AEA"/>
    <w:rsid w:val="00673029"/>
    <w:rsid w:val="006934AD"/>
    <w:rsid w:val="006D2581"/>
    <w:rsid w:val="007566F0"/>
    <w:rsid w:val="007D5953"/>
    <w:rsid w:val="00800B1E"/>
    <w:rsid w:val="00804C3F"/>
    <w:rsid w:val="008D27EA"/>
    <w:rsid w:val="00906458"/>
    <w:rsid w:val="00927DD7"/>
    <w:rsid w:val="009713D8"/>
    <w:rsid w:val="00991C2B"/>
    <w:rsid w:val="009D6FB8"/>
    <w:rsid w:val="009E6474"/>
    <w:rsid w:val="009F113A"/>
    <w:rsid w:val="00A355FC"/>
    <w:rsid w:val="00A36D56"/>
    <w:rsid w:val="00AA7984"/>
    <w:rsid w:val="00AF76B8"/>
    <w:rsid w:val="00B26647"/>
    <w:rsid w:val="00B3745B"/>
    <w:rsid w:val="00B84042"/>
    <w:rsid w:val="00BB1816"/>
    <w:rsid w:val="00BE3C61"/>
    <w:rsid w:val="00C16D8C"/>
    <w:rsid w:val="00C309D4"/>
    <w:rsid w:val="00C628BD"/>
    <w:rsid w:val="00C8282E"/>
    <w:rsid w:val="00CA4A93"/>
    <w:rsid w:val="00CC2B3C"/>
    <w:rsid w:val="00CC47C0"/>
    <w:rsid w:val="00CC64DE"/>
    <w:rsid w:val="00D0748E"/>
    <w:rsid w:val="00D41823"/>
    <w:rsid w:val="00D5302A"/>
    <w:rsid w:val="00E50EF1"/>
    <w:rsid w:val="00E51CF1"/>
    <w:rsid w:val="00E60286"/>
    <w:rsid w:val="00F01B8F"/>
    <w:rsid w:val="00F03042"/>
    <w:rsid w:val="00F452B7"/>
    <w:rsid w:val="00FD6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7AF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paragraph" w:styleId="Encabezado">
    <w:name w:val="header"/>
    <w:basedOn w:val="Normal"/>
    <w:link w:val="EncabezadoCar"/>
    <w:uiPriority w:val="99"/>
    <w:unhideWhenUsed/>
    <w:rsid w:val="00E51C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1CF1"/>
  </w:style>
  <w:style w:type="paragraph" w:styleId="Piedepgina">
    <w:name w:val="footer"/>
    <w:basedOn w:val="Normal"/>
    <w:link w:val="PiedepginaCar"/>
    <w:uiPriority w:val="99"/>
    <w:unhideWhenUsed/>
    <w:rsid w:val="00E51C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1CF1"/>
  </w:style>
  <w:style w:type="table" w:styleId="Tablaconcuadrcula">
    <w:name w:val="Table Grid"/>
    <w:basedOn w:val="Tablanormal"/>
    <w:uiPriority w:val="39"/>
    <w:rsid w:val="0067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3029"/>
    <w:pPr>
      <w:autoSpaceDE w:val="0"/>
      <w:autoSpaceDN w:val="0"/>
      <w:adjustRightInd w:val="0"/>
      <w:spacing w:after="0" w:line="240" w:lineRule="auto"/>
    </w:pPr>
    <w:rPr>
      <w:rFonts w:ascii="Arimo" w:hAnsi="Arimo" w:cs="Arimo"/>
      <w:color w:val="000000"/>
      <w:sz w:val="24"/>
      <w:szCs w:val="24"/>
    </w:rPr>
  </w:style>
  <w:style w:type="character" w:styleId="Hipervnculovisitado">
    <w:name w:val="FollowedHyperlink"/>
    <w:basedOn w:val="Fuentedeprrafopredeter"/>
    <w:uiPriority w:val="99"/>
    <w:semiHidden/>
    <w:unhideWhenUsed/>
    <w:rsid w:val="00673029"/>
    <w:rPr>
      <w:color w:val="954F72" w:themeColor="followedHyperlink"/>
      <w:u w:val="single"/>
    </w:rPr>
  </w:style>
  <w:style w:type="character" w:customStyle="1" w:styleId="HeaderChar">
    <w:name w:val="Header Char"/>
    <w:basedOn w:val="Fuentedeprrafopredeter"/>
    <w:link w:val="Header10"/>
    <w:uiPriority w:val="99"/>
    <w:locked/>
    <w:rsid w:val="00AF76B8"/>
    <w:rPr>
      <w:rFonts w:ascii="Calibri" w:hAnsi="Calibri" w:cs="Arial"/>
      <w:szCs w:val="19"/>
    </w:rPr>
  </w:style>
  <w:style w:type="paragraph" w:customStyle="1" w:styleId="Header10">
    <w:name w:val="Header10"/>
    <w:basedOn w:val="Normal"/>
    <w:link w:val="HeaderChar"/>
    <w:uiPriority w:val="99"/>
    <w:rsid w:val="00AF76B8"/>
    <w:pPr>
      <w:tabs>
        <w:tab w:val="center" w:pos="4252"/>
        <w:tab w:val="right" w:pos="8504"/>
      </w:tabs>
      <w:spacing w:before="60" w:after="60" w:line="240" w:lineRule="auto"/>
      <w:jc w:val="both"/>
    </w:pPr>
    <w:rPr>
      <w:rFonts w:ascii="Calibri" w:hAnsi="Calibri" w:cs="Arial"/>
      <w:szCs w:val="19"/>
    </w:rPr>
  </w:style>
  <w:style w:type="paragraph" w:customStyle="1" w:styleId="parrafo">
    <w:name w:val="parrafo"/>
    <w:basedOn w:val="Normal"/>
    <w:rsid w:val="009F11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9F11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226">
      <w:bodyDiv w:val="1"/>
      <w:marLeft w:val="0"/>
      <w:marRight w:val="0"/>
      <w:marTop w:val="0"/>
      <w:marBottom w:val="0"/>
      <w:divBdr>
        <w:top w:val="none" w:sz="0" w:space="0" w:color="auto"/>
        <w:left w:val="none" w:sz="0" w:space="0" w:color="auto"/>
        <w:bottom w:val="none" w:sz="0" w:space="0" w:color="auto"/>
        <w:right w:val="none" w:sz="0" w:space="0" w:color="auto"/>
      </w:divBdr>
    </w:div>
    <w:div w:id="1527479618">
      <w:bodyDiv w:val="1"/>
      <w:marLeft w:val="0"/>
      <w:marRight w:val="0"/>
      <w:marTop w:val="0"/>
      <w:marBottom w:val="0"/>
      <w:divBdr>
        <w:top w:val="none" w:sz="0" w:space="0" w:color="auto"/>
        <w:left w:val="none" w:sz="0" w:space="0" w:color="auto"/>
        <w:bottom w:val="none" w:sz="0" w:space="0" w:color="auto"/>
        <w:right w:val="none" w:sz="0" w:space="0" w:color="auto"/>
      </w:divBdr>
    </w:div>
    <w:div w:id="1893346202">
      <w:bodyDiv w:val="1"/>
      <w:marLeft w:val="0"/>
      <w:marRight w:val="0"/>
      <w:marTop w:val="0"/>
      <w:marBottom w:val="0"/>
      <w:divBdr>
        <w:top w:val="none" w:sz="0" w:space="0" w:color="auto"/>
        <w:left w:val="none" w:sz="0" w:space="0" w:color="auto"/>
        <w:bottom w:val="none" w:sz="0" w:space="0" w:color="auto"/>
        <w:right w:val="none" w:sz="0" w:space="0" w:color="auto"/>
      </w:divBdr>
    </w:div>
    <w:div w:id="1908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oe.es/diario_boe/txt.php?id=BOE-A-2024-2293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9B80D7BD8B504F8ECF6439AEEE5D71" ma:contentTypeVersion="1" ma:contentTypeDescription="Crear nuevo documento." ma:contentTypeScope="" ma:versionID="6d05d4028c35a408d3f32345fa86cffd">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901169-AB3D-4974-8CB6-1C1E1932CB7D}"/>
</file>

<file path=customXml/itemProps2.xml><?xml version="1.0" encoding="utf-8"?>
<ds:datastoreItem xmlns:ds="http://schemas.openxmlformats.org/officeDocument/2006/customXml" ds:itemID="{ACEE2255-31DE-4B5A-88C9-AE5F27D99C94}"/>
</file>

<file path=customXml/itemProps3.xml><?xml version="1.0" encoding="utf-8"?>
<ds:datastoreItem xmlns:ds="http://schemas.openxmlformats.org/officeDocument/2006/customXml" ds:itemID="{A0F41350-5F7E-4C52-B931-5BC2BA5A0469}"/>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2025-08-12T10:09:00Z</dcterms:created>
  <dcterms:modified xsi:type="dcterms:W3CDTF">2025-08-12T12:26:00Z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0x010100A99B80D7BD8B504F8ECF6439AEEE5D71</vt:lpwstr>
  </property>
</Properties>
</file>