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872"/>
        <w:gridCol w:w="6868"/>
      </w:tblGrid>
      <w:tr w:rsidR="006B462D" w14:paraId="03BA1C98" w14:textId="77777777" w:rsidTr="000239E1">
        <w:tc>
          <w:tcPr>
            <w:tcW w:w="9740" w:type="dxa"/>
            <w:gridSpan w:val="2"/>
          </w:tcPr>
          <w:p w14:paraId="7155CD83" w14:textId="77777777" w:rsidR="006B462D" w:rsidRDefault="006B462D" w:rsidP="000239E1">
            <w:pPr>
              <w:jc w:val="center"/>
            </w:pPr>
            <w:r w:rsidRPr="006014B0">
              <w:rPr>
                <w:b/>
                <w:bCs/>
                <w:sz w:val="28"/>
                <w:szCs w:val="28"/>
              </w:rPr>
              <w:t xml:space="preserve">MEMORIA DEL CUMPLIMIENTO DE LAS CONDICIONES ESPECÍFICAS </w:t>
            </w:r>
            <w:r>
              <w:rPr>
                <w:b/>
                <w:bCs/>
                <w:sz w:val="28"/>
                <w:szCs w:val="28"/>
              </w:rPr>
              <w:t xml:space="preserve">EN RELACIÓN CON EL PRINCIPIO </w:t>
            </w:r>
            <w:r w:rsidRPr="006014B0">
              <w:rPr>
                <w:b/>
                <w:bCs/>
                <w:sz w:val="28"/>
                <w:szCs w:val="28"/>
              </w:rPr>
              <w:t>DE DNSH</w:t>
            </w:r>
            <w:r>
              <w:rPr>
                <w:b/>
                <w:bCs/>
                <w:sz w:val="28"/>
                <w:szCs w:val="28"/>
              </w:rPr>
              <w:t xml:space="preserve"> (Do No </w:t>
            </w:r>
            <w:proofErr w:type="spellStart"/>
            <w:r>
              <w:rPr>
                <w:b/>
                <w:bCs/>
                <w:sz w:val="28"/>
                <w:szCs w:val="28"/>
              </w:rPr>
              <w:t>Significant</w:t>
            </w:r>
            <w:proofErr w:type="spellEnd"/>
            <w:r>
              <w:rPr>
                <w:b/>
                <w:bCs/>
                <w:sz w:val="28"/>
                <w:szCs w:val="28"/>
              </w:rPr>
              <w:t xml:space="preserve"> </w:t>
            </w:r>
            <w:proofErr w:type="spellStart"/>
            <w:r>
              <w:rPr>
                <w:b/>
                <w:bCs/>
                <w:sz w:val="28"/>
                <w:szCs w:val="28"/>
              </w:rPr>
              <w:t>Harm</w:t>
            </w:r>
            <w:proofErr w:type="spellEnd"/>
            <w:r>
              <w:rPr>
                <w:b/>
                <w:bCs/>
                <w:sz w:val="28"/>
                <w:szCs w:val="28"/>
              </w:rPr>
              <w:t>)</w:t>
            </w:r>
          </w:p>
        </w:tc>
      </w:tr>
      <w:tr w:rsidR="006B462D" w:rsidRPr="00731677" w14:paraId="247D4853" w14:textId="77777777" w:rsidTr="000239E1">
        <w:tc>
          <w:tcPr>
            <w:tcW w:w="2872" w:type="dxa"/>
          </w:tcPr>
          <w:p w14:paraId="15E7AC64" w14:textId="77777777" w:rsidR="006B462D" w:rsidRPr="00731677" w:rsidRDefault="006B462D" w:rsidP="000239E1">
            <w:pPr>
              <w:jc w:val="both"/>
              <w:rPr>
                <w:b/>
                <w:bCs/>
                <w:sz w:val="24"/>
                <w:szCs w:val="24"/>
              </w:rPr>
            </w:pPr>
            <w:r w:rsidRPr="00731677">
              <w:rPr>
                <w:b/>
                <w:bCs/>
                <w:sz w:val="24"/>
                <w:szCs w:val="24"/>
              </w:rPr>
              <w:t>Convocatoria</w:t>
            </w:r>
          </w:p>
        </w:tc>
        <w:tc>
          <w:tcPr>
            <w:tcW w:w="6868" w:type="dxa"/>
          </w:tcPr>
          <w:p w14:paraId="73CD4281" w14:textId="2175D719" w:rsidR="006B462D" w:rsidRPr="00731677" w:rsidRDefault="006B462D" w:rsidP="006B462D">
            <w:pPr>
              <w:rPr>
                <w:b/>
                <w:bCs/>
                <w:sz w:val="24"/>
                <w:szCs w:val="24"/>
              </w:rPr>
            </w:pPr>
            <w:r w:rsidRPr="00731677">
              <w:rPr>
                <w:sz w:val="24"/>
                <w:szCs w:val="24"/>
              </w:rPr>
              <w:t xml:space="preserve">UNICO </w:t>
            </w:r>
            <w:r w:rsidR="008724CB">
              <w:rPr>
                <w:sz w:val="24"/>
                <w:szCs w:val="24"/>
              </w:rPr>
              <w:t>IPCEI-Indirectos</w:t>
            </w:r>
          </w:p>
        </w:tc>
      </w:tr>
      <w:tr w:rsidR="006B462D" w14:paraId="06D24B93" w14:textId="77777777" w:rsidTr="000239E1">
        <w:tc>
          <w:tcPr>
            <w:tcW w:w="2872" w:type="dxa"/>
          </w:tcPr>
          <w:p w14:paraId="754C5C8F" w14:textId="77777777" w:rsidR="006B462D" w:rsidRDefault="006B462D" w:rsidP="000239E1">
            <w:pPr>
              <w:jc w:val="both"/>
              <w:rPr>
                <w:b/>
                <w:bCs/>
                <w:sz w:val="24"/>
                <w:szCs w:val="24"/>
              </w:rPr>
            </w:pPr>
            <w:r>
              <w:rPr>
                <w:b/>
                <w:bCs/>
                <w:sz w:val="24"/>
                <w:szCs w:val="24"/>
              </w:rPr>
              <w:t>Instrumento jurídico</w:t>
            </w:r>
          </w:p>
        </w:tc>
        <w:tc>
          <w:tcPr>
            <w:tcW w:w="6868" w:type="dxa"/>
          </w:tcPr>
          <w:p w14:paraId="2EDA4693" w14:textId="06C45975" w:rsidR="006B462D" w:rsidRPr="00740E9B" w:rsidRDefault="008724CB" w:rsidP="006B462D">
            <w:pPr>
              <w:jc w:val="both"/>
              <w:rPr>
                <w:sz w:val="24"/>
                <w:szCs w:val="24"/>
              </w:rPr>
            </w:pPr>
            <w:r w:rsidRPr="008724CB">
              <w:rPr>
                <w:sz w:val="24"/>
                <w:szCs w:val="24"/>
              </w:rPr>
              <w:t xml:space="preserve">Real Decreto 765/2024, de 30 de julio, por el que se regula la concesión directa de una subvención a un participante indirecto en el Proyecto Importante de Interés Común Europeo de Nueva Generación de Servicios e Infraestructuras en la Nube (IPCEI CIS), Programa Único IPCEI-Indirectos, en el marco del Plan de Recuperación, Transformación y Resiliencia -Financiado por la Unión Europea- Next </w:t>
            </w:r>
            <w:proofErr w:type="spellStart"/>
            <w:r w:rsidRPr="008724CB">
              <w:rPr>
                <w:sz w:val="24"/>
                <w:szCs w:val="24"/>
              </w:rPr>
              <w:t>Generation</w:t>
            </w:r>
            <w:proofErr w:type="spellEnd"/>
            <w:r w:rsidRPr="008724CB">
              <w:rPr>
                <w:sz w:val="24"/>
                <w:szCs w:val="24"/>
              </w:rPr>
              <w:t xml:space="preserve"> EU.</w:t>
            </w:r>
          </w:p>
        </w:tc>
      </w:tr>
      <w:tr w:rsidR="006B462D" w14:paraId="5CAFDDE0" w14:textId="77777777" w:rsidTr="000239E1">
        <w:tc>
          <w:tcPr>
            <w:tcW w:w="2872" w:type="dxa"/>
          </w:tcPr>
          <w:p w14:paraId="4CA9F588" w14:textId="77777777" w:rsidR="006B462D" w:rsidRDefault="006B462D" w:rsidP="000239E1">
            <w:pPr>
              <w:jc w:val="both"/>
              <w:rPr>
                <w:b/>
                <w:bCs/>
                <w:sz w:val="24"/>
                <w:szCs w:val="24"/>
              </w:rPr>
            </w:pPr>
            <w:r>
              <w:rPr>
                <w:b/>
                <w:bCs/>
                <w:sz w:val="24"/>
                <w:szCs w:val="24"/>
              </w:rPr>
              <w:t>Condiciones específicas en relación con el principio de DNSH</w:t>
            </w:r>
          </w:p>
        </w:tc>
        <w:tc>
          <w:tcPr>
            <w:tcW w:w="6868" w:type="dxa"/>
          </w:tcPr>
          <w:p w14:paraId="2F3D45EA" w14:textId="20640C9F" w:rsidR="006B462D" w:rsidRPr="006B462D" w:rsidRDefault="006B462D" w:rsidP="000239E1">
            <w:pPr>
              <w:jc w:val="both"/>
              <w:rPr>
                <w:sz w:val="24"/>
                <w:szCs w:val="24"/>
              </w:rPr>
            </w:pPr>
            <w:r w:rsidRPr="006B462D">
              <w:rPr>
                <w:sz w:val="24"/>
                <w:szCs w:val="24"/>
              </w:rPr>
              <w:t xml:space="preserve">Anexo </w:t>
            </w:r>
            <w:r w:rsidR="008724CB">
              <w:rPr>
                <w:sz w:val="24"/>
                <w:szCs w:val="24"/>
              </w:rPr>
              <w:t>V</w:t>
            </w:r>
            <w:r w:rsidRPr="006B462D">
              <w:rPr>
                <w:sz w:val="24"/>
                <w:szCs w:val="24"/>
              </w:rPr>
              <w:t xml:space="preserve"> del instrumento jurídico</w:t>
            </w:r>
          </w:p>
        </w:tc>
      </w:tr>
      <w:tr w:rsidR="006B462D" w14:paraId="3AFC5DBC" w14:textId="77777777" w:rsidTr="000239E1">
        <w:tc>
          <w:tcPr>
            <w:tcW w:w="2872" w:type="dxa"/>
          </w:tcPr>
          <w:p w14:paraId="61DFB93C" w14:textId="77777777" w:rsidR="006B462D" w:rsidRDefault="006B462D" w:rsidP="000239E1">
            <w:pPr>
              <w:jc w:val="both"/>
              <w:rPr>
                <w:b/>
                <w:bCs/>
                <w:sz w:val="24"/>
                <w:szCs w:val="24"/>
              </w:rPr>
            </w:pPr>
            <w:r>
              <w:rPr>
                <w:b/>
                <w:bCs/>
                <w:sz w:val="24"/>
                <w:szCs w:val="24"/>
              </w:rPr>
              <w:t>Beneficiario</w:t>
            </w:r>
          </w:p>
        </w:tc>
        <w:tc>
          <w:tcPr>
            <w:tcW w:w="6868" w:type="dxa"/>
          </w:tcPr>
          <w:p w14:paraId="5ED20AFC" w14:textId="30642784" w:rsidR="006B462D" w:rsidRPr="00294052" w:rsidRDefault="008724CB" w:rsidP="000239E1">
            <w:pPr>
              <w:jc w:val="both"/>
              <w:rPr>
                <w:sz w:val="24"/>
                <w:szCs w:val="24"/>
              </w:rPr>
            </w:pPr>
            <w:r w:rsidRPr="008724CB">
              <w:rPr>
                <w:sz w:val="24"/>
                <w:szCs w:val="24"/>
              </w:rPr>
              <w:t>Mondragón Corporación Cooperativa S.COOP</w:t>
            </w:r>
          </w:p>
        </w:tc>
      </w:tr>
      <w:tr w:rsidR="00731677" w14:paraId="4668E48B" w14:textId="77777777" w:rsidTr="000239E1">
        <w:tc>
          <w:tcPr>
            <w:tcW w:w="2872" w:type="dxa"/>
          </w:tcPr>
          <w:p w14:paraId="3393F129" w14:textId="00AA7EFB" w:rsidR="00731677" w:rsidRDefault="00731677" w:rsidP="000239E1">
            <w:pPr>
              <w:jc w:val="both"/>
              <w:rPr>
                <w:b/>
                <w:bCs/>
                <w:sz w:val="24"/>
                <w:szCs w:val="24"/>
              </w:rPr>
            </w:pPr>
            <w:r>
              <w:rPr>
                <w:b/>
                <w:bCs/>
                <w:sz w:val="24"/>
                <w:szCs w:val="24"/>
              </w:rPr>
              <w:t>Expediente</w:t>
            </w:r>
          </w:p>
        </w:tc>
        <w:tc>
          <w:tcPr>
            <w:tcW w:w="6868" w:type="dxa"/>
          </w:tcPr>
          <w:p w14:paraId="4D9774CE" w14:textId="438F4F25" w:rsidR="00731677" w:rsidRDefault="008724CB" w:rsidP="000239E1">
            <w:pPr>
              <w:jc w:val="both"/>
              <w:rPr>
                <w:sz w:val="24"/>
                <w:szCs w:val="24"/>
              </w:rPr>
            </w:pPr>
            <w:r w:rsidRPr="008724CB">
              <w:rPr>
                <w:sz w:val="24"/>
                <w:szCs w:val="24"/>
              </w:rPr>
              <w:t>TSI-063400-2024-0001</w:t>
            </w:r>
            <w:r w:rsidRPr="008724CB">
              <w:rPr>
                <w:sz w:val="24"/>
                <w:szCs w:val="24"/>
              </w:rPr>
              <w:tab/>
            </w:r>
          </w:p>
        </w:tc>
      </w:tr>
    </w:tbl>
    <w:p w14:paraId="7EA4B642" w14:textId="77777777" w:rsidR="006B462D" w:rsidRDefault="006B462D" w:rsidP="006B462D">
      <w:pPr>
        <w:jc w:val="both"/>
      </w:pPr>
    </w:p>
    <w:tbl>
      <w:tblPr>
        <w:tblStyle w:val="Tablaconcuadrcula"/>
        <w:tblW w:w="0" w:type="auto"/>
        <w:tblLook w:val="04A0" w:firstRow="1" w:lastRow="0" w:firstColumn="1" w:lastColumn="0" w:noHBand="0" w:noVBand="1"/>
      </w:tblPr>
      <w:tblGrid>
        <w:gridCol w:w="9740"/>
      </w:tblGrid>
      <w:tr w:rsidR="006B462D" w:rsidRPr="0025232B" w14:paraId="28F3B2CE" w14:textId="77777777" w:rsidTr="000239E1">
        <w:tc>
          <w:tcPr>
            <w:tcW w:w="9740" w:type="dxa"/>
          </w:tcPr>
          <w:p w14:paraId="0FF0EE53" w14:textId="0AB16881" w:rsidR="006B462D" w:rsidRPr="0025232B" w:rsidRDefault="006B462D" w:rsidP="000239E1">
            <w:pPr>
              <w:spacing w:after="160" w:line="259" w:lineRule="auto"/>
              <w:jc w:val="both"/>
              <w:rPr>
                <w:sz w:val="24"/>
                <w:szCs w:val="24"/>
              </w:rPr>
            </w:pPr>
            <w:r w:rsidRPr="0025232B">
              <w:rPr>
                <w:sz w:val="24"/>
                <w:szCs w:val="24"/>
              </w:rPr>
              <w:t xml:space="preserve">En esta memoria se describen las acciones llevadas a cabo por </w:t>
            </w:r>
            <w:r w:rsidR="008724CB" w:rsidRPr="008724CB">
              <w:rPr>
                <w:sz w:val="24"/>
                <w:szCs w:val="24"/>
              </w:rPr>
              <w:t>Mondragón Corporación Cooperativa S.COOP</w:t>
            </w:r>
            <w:r w:rsidR="008724CB" w:rsidRPr="008724CB">
              <w:rPr>
                <w:sz w:val="24"/>
                <w:szCs w:val="24"/>
              </w:rPr>
              <w:t xml:space="preserve"> </w:t>
            </w:r>
            <w:r w:rsidRPr="0025232B">
              <w:rPr>
                <w:sz w:val="24"/>
                <w:szCs w:val="24"/>
              </w:rPr>
              <w:t xml:space="preserve">para dar cumplimiento a cada una de las condiciones específicas relativas al principio DNSH que son aplicables a esta actuación y que se enumeran a continuación asociadas a cada uno de los objetivos medioambientales recogidos en el artículo 17 del Reglamento 2020/852: </w:t>
            </w:r>
          </w:p>
        </w:tc>
      </w:tr>
    </w:tbl>
    <w:p w14:paraId="281F5BB5" w14:textId="77777777" w:rsidR="006B462D" w:rsidRDefault="006B462D" w:rsidP="006B462D">
      <w:pPr>
        <w:jc w:val="both"/>
        <w:rPr>
          <w:highlight w:val="yellow"/>
        </w:rPr>
      </w:pPr>
    </w:p>
    <w:p w14:paraId="69B8CB22" w14:textId="77777777" w:rsidR="006B462D" w:rsidRDefault="006B462D" w:rsidP="001A4255"/>
    <w:p w14:paraId="337F58A4" w14:textId="77777777"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1: </w:t>
      </w:r>
      <w:r w:rsidRPr="006014B0">
        <w:rPr>
          <w:b/>
          <w:bCs/>
        </w:rPr>
        <w:t xml:space="preserve"> </w:t>
      </w:r>
    </w:p>
    <w:p w14:paraId="13013C41" w14:textId="3252D38F" w:rsidR="004A51E7" w:rsidRDefault="004A51E7" w:rsidP="006B462D">
      <w:pPr>
        <w:jc w:val="both"/>
      </w:pPr>
      <w:r>
        <w:t>1. </w:t>
      </w:r>
      <w:r w:rsidR="002B3EBF" w:rsidRPr="002B3EBF">
        <w:t xml:space="preserve"> Respecto a las emisiones de gases de efecto invernadero</w:t>
      </w:r>
      <w:r>
        <w:t>:</w:t>
      </w:r>
    </w:p>
    <w:p w14:paraId="1D7A9A44" w14:textId="77777777" w:rsidR="002B3EBF" w:rsidRPr="002B3EBF" w:rsidRDefault="002B3EBF" w:rsidP="002B3EBF">
      <w:pPr>
        <w:ind w:left="708"/>
        <w:jc w:val="both"/>
      </w:pPr>
      <w:r w:rsidRPr="002B3EBF">
        <w:t>a)</w:t>
      </w:r>
      <w:r w:rsidRPr="002B3EBF">
        <w:t> </w:t>
      </w:r>
      <w:r w:rsidRPr="002B3EBF">
        <w:t>Los equipos que se utilicen cumplirán con los requisitos relacionados con el consumo energético establecidos de acuerdo con la Directiva 2009/125/EC para servidores y almacenamiento de datos, o computadoras y servidores de computadoras o pantallas electrónicas.</w:t>
      </w:r>
    </w:p>
    <w:p w14:paraId="037CE9F7" w14:textId="77777777" w:rsidR="002B3EBF" w:rsidRPr="002B3EBF" w:rsidRDefault="002B3EBF" w:rsidP="002B3EBF">
      <w:pPr>
        <w:ind w:left="708"/>
        <w:jc w:val="both"/>
      </w:pPr>
      <w:r w:rsidRPr="002B3EBF">
        <w:t>b)</w:t>
      </w:r>
      <w:r w:rsidRPr="002B3EBF">
        <w:t> </w:t>
      </w:r>
      <w:r w:rsidRPr="002B3EBF">
        <w:t>Para la instalación de las infraestructuras IT, se seguirá la versión más reciente del Código de conducta europeo sobre eficiencia energética de centros de datos, o en el documento CEN-CENELEC CLC TR50600-99-1 «Instalaciones e infraestructuras de centros de datos-Parte 99-1: Prácticas recomendadas para la gestión energética».</w:t>
      </w:r>
    </w:p>
    <w:p w14:paraId="6A28523D" w14:textId="77777777" w:rsidR="002B3EBF" w:rsidRPr="002B3EBF" w:rsidRDefault="002B3EBF" w:rsidP="002B3EBF">
      <w:pPr>
        <w:ind w:left="708"/>
        <w:jc w:val="both"/>
      </w:pPr>
      <w:r w:rsidRPr="002B3EBF">
        <w:t>c)</w:t>
      </w:r>
      <w:r w:rsidRPr="002B3EBF">
        <w:t> </w:t>
      </w:r>
      <w:r w:rsidRPr="002B3EBF">
        <w:t xml:space="preserve">3.º Para minimizar el impacto climático y medioambiental de las grandes infraestructuras digitales transfronterizas y </w:t>
      </w:r>
      <w:proofErr w:type="spellStart"/>
      <w:r w:rsidRPr="002B3EBF">
        <w:t>multipaís</w:t>
      </w:r>
      <w:proofErr w:type="spellEnd"/>
      <w:r w:rsidRPr="002B3EBF">
        <w:t xml:space="preserve">, se activarán medidas y se establecerán políticas de apoyo a la instalación de aquellos centros que sean absolutamente respetuosos con los informes de la comisión: concretamente el «EU </w:t>
      </w:r>
      <w:proofErr w:type="spellStart"/>
      <w:r w:rsidRPr="002B3EBF">
        <w:t>Code</w:t>
      </w:r>
      <w:proofErr w:type="spellEnd"/>
      <w:r w:rsidRPr="002B3EBF">
        <w:t xml:space="preserve"> </w:t>
      </w:r>
      <w:proofErr w:type="spellStart"/>
      <w:r w:rsidRPr="002B3EBF">
        <w:t>of</w:t>
      </w:r>
      <w:proofErr w:type="spellEnd"/>
      <w:r w:rsidRPr="002B3EBF">
        <w:t xml:space="preserve"> </w:t>
      </w:r>
      <w:proofErr w:type="spellStart"/>
      <w:r w:rsidRPr="002B3EBF">
        <w:t>Conduct</w:t>
      </w:r>
      <w:proofErr w:type="spellEnd"/>
      <w:r w:rsidRPr="002B3EBF">
        <w:t xml:space="preserve"> </w:t>
      </w:r>
      <w:proofErr w:type="spellStart"/>
      <w:r w:rsidRPr="002B3EBF">
        <w:t>on</w:t>
      </w:r>
      <w:proofErr w:type="spellEnd"/>
      <w:r w:rsidRPr="002B3EBF">
        <w:t xml:space="preserve"> Data Centre Energy </w:t>
      </w:r>
      <w:proofErr w:type="spellStart"/>
      <w:r w:rsidRPr="002B3EBF">
        <w:t>efficiency</w:t>
      </w:r>
      <w:proofErr w:type="spellEnd"/>
      <w:r w:rsidRPr="002B3EBF">
        <w:t>» (https://ec.europa.eu/jrc/en/energy-efficiency/code-conduct/datacentres).</w:t>
      </w:r>
    </w:p>
    <w:p w14:paraId="1E40F553" w14:textId="77777777" w:rsidR="006B462D" w:rsidRPr="00591BED" w:rsidRDefault="006B462D" w:rsidP="006B462D">
      <w:pPr>
        <w:jc w:val="both"/>
      </w:pPr>
      <w:r>
        <w:rPr>
          <w:highlight w:val="yellow"/>
        </w:rPr>
        <w:lastRenderedPageBreak/>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2F2E4CB1" w14:textId="27A71533" w:rsidR="006B462D" w:rsidRDefault="006B462D" w:rsidP="006B462D">
      <w:pPr>
        <w:jc w:val="both"/>
      </w:pPr>
    </w:p>
    <w:p w14:paraId="0E4CA1BB" w14:textId="721CF807"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2: </w:t>
      </w:r>
      <w:r w:rsidRPr="006014B0">
        <w:rPr>
          <w:b/>
          <w:bCs/>
        </w:rPr>
        <w:t xml:space="preserve"> </w:t>
      </w:r>
    </w:p>
    <w:p w14:paraId="729C0E00" w14:textId="2CD584AC" w:rsidR="004A51E7" w:rsidRDefault="004A51E7" w:rsidP="006B462D">
      <w:pPr>
        <w:jc w:val="both"/>
      </w:pPr>
      <w:r>
        <w:t>2. </w:t>
      </w:r>
      <w:r w:rsidR="002B3EBF" w:rsidRPr="002B3EBF">
        <w:t xml:space="preserve"> En relación con los posibles efectos adversos de las condiciones climáticas actuales y de las previstas en el futuro, sobre sí misma o en las personas, la naturaleza o los activos.</w:t>
      </w:r>
    </w:p>
    <w:p w14:paraId="03473E1F" w14:textId="77777777" w:rsidR="002B3EBF" w:rsidRPr="002B3EBF" w:rsidRDefault="002B3EBF" w:rsidP="002B3EBF">
      <w:pPr>
        <w:ind w:left="708"/>
        <w:jc w:val="both"/>
      </w:pPr>
      <w:r w:rsidRPr="002B3EBF">
        <w:t>a)</w:t>
      </w:r>
      <w:r w:rsidRPr="002B3EBF">
        <w:t> </w:t>
      </w:r>
      <w:r w:rsidRPr="002B3EBF">
        <w:t>Se realizará una evaluación del riesgo climático y la vulnerabilidad de las instalaciones de infraestructuras IT y en su caso, se establecerán las soluciones de adaptación adecuadas para cada caso.</w:t>
      </w:r>
    </w:p>
    <w:p w14:paraId="5F26E062" w14:textId="77777777" w:rsidR="002B3EBF" w:rsidRPr="002B3EBF" w:rsidRDefault="002B3EBF" w:rsidP="002B3EBF">
      <w:pPr>
        <w:ind w:left="708"/>
        <w:jc w:val="both"/>
      </w:pPr>
      <w:r w:rsidRPr="002B3EBF">
        <w:t>b)</w:t>
      </w:r>
      <w:r w:rsidRPr="002B3EBF">
        <w:t> </w:t>
      </w:r>
      <w:r w:rsidRPr="002B3EBF">
        <w:t>Se realizarán evaluaciones para no impactar en áreas o en entornos propensos a inundaciones, temperaturas extremas y/o desprendimientos de tierras.</w:t>
      </w:r>
    </w:p>
    <w:p w14:paraId="078D40AF"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1D21F2FF" w14:textId="086690AB" w:rsidR="006B462D" w:rsidRPr="006014B0" w:rsidRDefault="006B462D" w:rsidP="006B462D">
      <w:pPr>
        <w:jc w:val="both"/>
        <w:rPr>
          <w:b/>
          <w:bCs/>
        </w:rPr>
      </w:pPr>
      <w:r>
        <w:rPr>
          <w:b/>
          <w:bCs/>
        </w:rPr>
        <w:t xml:space="preserve">Condición específica </w:t>
      </w:r>
      <w:proofErr w:type="spellStart"/>
      <w:r>
        <w:rPr>
          <w:b/>
          <w:bCs/>
        </w:rPr>
        <w:t>nº</w:t>
      </w:r>
      <w:proofErr w:type="spellEnd"/>
      <w:r>
        <w:rPr>
          <w:b/>
          <w:bCs/>
        </w:rPr>
        <w:t xml:space="preserve"> 3: </w:t>
      </w:r>
      <w:r w:rsidRPr="006014B0">
        <w:rPr>
          <w:b/>
          <w:bCs/>
        </w:rPr>
        <w:t xml:space="preserve"> </w:t>
      </w:r>
    </w:p>
    <w:p w14:paraId="39219AEB" w14:textId="76E2CD7D" w:rsidR="00065287" w:rsidRDefault="004A51E7" w:rsidP="006B462D">
      <w:pPr>
        <w:jc w:val="both"/>
      </w:pPr>
      <w:r>
        <w:t>3. </w:t>
      </w:r>
      <w:r w:rsidR="002B3EBF" w:rsidRPr="002B3EBF">
        <w:t xml:space="preserve"> Para fomentar la economía circular se exigirá lo siguiente</w:t>
      </w:r>
      <w:r w:rsidR="00065287">
        <w:t>:</w:t>
      </w:r>
    </w:p>
    <w:p w14:paraId="46E7DB40" w14:textId="27EDCE71" w:rsidR="006A617E" w:rsidRDefault="002B3EBF" w:rsidP="006B462D">
      <w:pPr>
        <w:ind w:left="708"/>
        <w:jc w:val="both"/>
      </w:pPr>
      <w:r w:rsidRPr="002B3EBF">
        <w:t>a)</w:t>
      </w:r>
      <w:r w:rsidRPr="002B3EBF">
        <w:t> </w:t>
      </w:r>
      <w:r w:rsidRPr="002B3EBF">
        <w:t>Los equipos utilizados cumplirán con los requisitos de eficiencia de materiales establecidos de acuerdo con la Directiva 2009/125/EC para servidores y almacenamiento de datos, u ordenadores y servidores de ordenadores o pantallas electrónicas. Los equipos no contendrán las sustancias restringidas enumeradas en el anexo II de la Directiva 2011/65/UE,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w:t>
      </w:r>
    </w:p>
    <w:p w14:paraId="337BA8A2" w14:textId="77777777" w:rsidR="006B462D" w:rsidRPr="00591BED" w:rsidRDefault="006B462D" w:rsidP="006B462D">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05D8DA5F" w14:textId="5D26DB14" w:rsidR="002B3EBF" w:rsidRPr="006014B0" w:rsidRDefault="002B3EBF" w:rsidP="002B3EBF">
      <w:pPr>
        <w:jc w:val="both"/>
        <w:rPr>
          <w:b/>
          <w:bCs/>
        </w:rPr>
      </w:pPr>
      <w:r>
        <w:rPr>
          <w:b/>
          <w:bCs/>
        </w:rPr>
        <w:t xml:space="preserve">Condición específica </w:t>
      </w:r>
      <w:proofErr w:type="spellStart"/>
      <w:r>
        <w:rPr>
          <w:b/>
          <w:bCs/>
        </w:rPr>
        <w:t>nº</w:t>
      </w:r>
      <w:proofErr w:type="spellEnd"/>
      <w:r>
        <w:rPr>
          <w:b/>
          <w:bCs/>
        </w:rPr>
        <w:t xml:space="preserve"> 4: </w:t>
      </w:r>
      <w:r w:rsidRPr="006014B0">
        <w:rPr>
          <w:b/>
          <w:bCs/>
        </w:rPr>
        <w:t xml:space="preserve"> </w:t>
      </w:r>
    </w:p>
    <w:p w14:paraId="3F6C295D" w14:textId="096D1316" w:rsidR="006B462D" w:rsidRDefault="002B3EBF" w:rsidP="002B3EBF">
      <w:pPr>
        <w:tabs>
          <w:tab w:val="left" w:pos="426"/>
        </w:tabs>
      </w:pPr>
      <w:r>
        <w:t>4.</w:t>
      </w:r>
      <w:r>
        <w:tab/>
      </w:r>
      <w:r w:rsidRPr="002B3EBF">
        <w:t>Como protección de la biodiversidad y los ecosistemas:</w:t>
      </w:r>
    </w:p>
    <w:p w14:paraId="6D3F1B10" w14:textId="7D11FF5D" w:rsidR="002B3EBF" w:rsidRDefault="002B3EBF" w:rsidP="002B3EBF">
      <w:pPr>
        <w:ind w:left="708"/>
        <w:jc w:val="both"/>
      </w:pPr>
      <w:r w:rsidRPr="002B3EBF">
        <w:t>a)</w:t>
      </w:r>
      <w:r w:rsidRPr="002B3EBF">
        <w:t> </w:t>
      </w:r>
      <w:r w:rsidRPr="002B3EBF">
        <w:t>Se asegurará que las instalaciones de infraestructuras IT no afectarán negativamente a las buenas condiciones y la resiliencia de los ecosistemas, tampoco al estado de conservación de los hábitats y las especies, en particular los espacios de interés de la Unión. Por ello cuando sea preceptivo, se realizará la Evaluación de Impacto medioambiental, de acuerdo con lo establecido en la Directiva 2011/92/EU.</w:t>
      </w:r>
    </w:p>
    <w:p w14:paraId="23457FF8" w14:textId="77777777" w:rsidR="002B3EBF" w:rsidRPr="00591BED" w:rsidRDefault="002B3EBF" w:rsidP="002B3EBF">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40FD0CF4" w14:textId="6E276564" w:rsidR="002B3EBF" w:rsidRPr="006014B0" w:rsidRDefault="002B3EBF" w:rsidP="002B3EBF">
      <w:pPr>
        <w:jc w:val="both"/>
        <w:rPr>
          <w:b/>
          <w:bCs/>
        </w:rPr>
      </w:pPr>
      <w:r>
        <w:rPr>
          <w:b/>
          <w:bCs/>
        </w:rPr>
        <w:t xml:space="preserve">Condición específica </w:t>
      </w:r>
      <w:proofErr w:type="spellStart"/>
      <w:r>
        <w:rPr>
          <w:b/>
          <w:bCs/>
        </w:rPr>
        <w:t>nº</w:t>
      </w:r>
      <w:proofErr w:type="spellEnd"/>
      <w:r>
        <w:rPr>
          <w:b/>
          <w:bCs/>
        </w:rPr>
        <w:t xml:space="preserve"> 5: </w:t>
      </w:r>
      <w:r w:rsidRPr="006014B0">
        <w:rPr>
          <w:b/>
          <w:bCs/>
        </w:rPr>
        <w:t xml:space="preserve"> </w:t>
      </w:r>
    </w:p>
    <w:p w14:paraId="5E9B9C69" w14:textId="5AF23EA1" w:rsidR="002B3EBF" w:rsidRDefault="002B3EBF" w:rsidP="002B3EBF">
      <w:pPr>
        <w:tabs>
          <w:tab w:val="left" w:pos="426"/>
        </w:tabs>
        <w:jc w:val="both"/>
      </w:pPr>
      <w:r>
        <w:lastRenderedPageBreak/>
        <w:t>5.</w:t>
      </w:r>
      <w:r>
        <w:tab/>
      </w:r>
      <w:r w:rsidRPr="002B3EBF">
        <w:t>Como medidas del uso sostenible y protección de los recursos hídricos y marinos.</w:t>
      </w:r>
    </w:p>
    <w:p w14:paraId="470BFF42" w14:textId="77777777" w:rsidR="002B3EBF" w:rsidRPr="002B3EBF" w:rsidRDefault="002B3EBF" w:rsidP="002B3EBF">
      <w:pPr>
        <w:ind w:left="708"/>
        <w:jc w:val="both"/>
      </w:pPr>
      <w:r w:rsidRPr="002B3EBF">
        <w:t>a)</w:t>
      </w:r>
      <w:r w:rsidRPr="002B3EBF">
        <w:t> </w:t>
      </w:r>
      <w:r w:rsidRPr="002B3EBF">
        <w:t>Se asegurará que las instalaciones de infraestructuras IT no tengan un impacto negativo sobre el buen estado medioambiental de las aguas marinas y las masas de agua terrestres superficiales y subterráneas</w:t>
      </w:r>
    </w:p>
    <w:p w14:paraId="324C6C52" w14:textId="3187112E" w:rsidR="002B3EBF" w:rsidRDefault="002B3EBF" w:rsidP="002B3EBF">
      <w:pPr>
        <w:ind w:left="708"/>
        <w:jc w:val="both"/>
      </w:pPr>
      <w:r w:rsidRPr="002B3EBF">
        <w:t>b)</w:t>
      </w:r>
      <w:r w:rsidRPr="002B3EBF">
        <w:t> </w:t>
      </w:r>
      <w:r w:rsidRPr="002B3EBF">
        <w:t>Se asegurará que las instalaciones de infraestructuras IT fomenten la optimización del empleo de recursos hídrico ni afectará a especies y hábitats protegidos que dependan de recursos hídricos</w:t>
      </w:r>
      <w:r>
        <w:t>.</w:t>
      </w:r>
    </w:p>
    <w:p w14:paraId="28C235E8" w14:textId="394F4EB7" w:rsidR="002B3EBF" w:rsidRPr="002B3EBF" w:rsidRDefault="002B3EBF" w:rsidP="002B3EBF">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7A5EBBD7" w14:textId="16FEB05B" w:rsidR="002B3EBF" w:rsidRDefault="002B3EBF" w:rsidP="002B3EBF">
      <w:pPr>
        <w:jc w:val="both"/>
        <w:rPr>
          <w:b/>
          <w:bCs/>
        </w:rPr>
      </w:pPr>
      <w:r>
        <w:rPr>
          <w:b/>
          <w:bCs/>
        </w:rPr>
        <w:t xml:space="preserve">Condición específica </w:t>
      </w:r>
      <w:proofErr w:type="spellStart"/>
      <w:r>
        <w:rPr>
          <w:b/>
          <w:bCs/>
        </w:rPr>
        <w:t>nº</w:t>
      </w:r>
      <w:proofErr w:type="spellEnd"/>
      <w:r>
        <w:rPr>
          <w:b/>
          <w:bCs/>
        </w:rPr>
        <w:t xml:space="preserve"> 6:  </w:t>
      </w:r>
    </w:p>
    <w:p w14:paraId="143D8C68" w14:textId="7074D13E" w:rsidR="002B3EBF" w:rsidRDefault="002B3EBF" w:rsidP="002B3EBF">
      <w:pPr>
        <w:tabs>
          <w:tab w:val="left" w:pos="426"/>
        </w:tabs>
        <w:jc w:val="both"/>
      </w:pPr>
      <w:r w:rsidRPr="002B3EBF">
        <w:t>6.</w:t>
      </w:r>
      <w:r w:rsidRPr="002B3EBF">
        <w:t> </w:t>
      </w:r>
      <w:r w:rsidRPr="002B3EBF">
        <w:t>Como protección y restauración de la biodiversidad y los ecosistemas:</w:t>
      </w:r>
    </w:p>
    <w:p w14:paraId="5E15F679" w14:textId="048B88DA" w:rsidR="002B3EBF" w:rsidRDefault="002B3EBF" w:rsidP="002B3EBF">
      <w:pPr>
        <w:ind w:left="708"/>
        <w:jc w:val="both"/>
      </w:pPr>
      <w:r w:rsidRPr="002B3EBF">
        <w:t>a) La actuación no se llevará a cabo en áreas protegidas o sensibles de la red Natura 2000, en lugares declarados patrimonio de la humanidad por la UNESCO o en áreas clave de biodiversidad.</w:t>
      </w:r>
    </w:p>
    <w:p w14:paraId="41CBB193" w14:textId="77777777" w:rsidR="002B3EBF" w:rsidRPr="00591BED" w:rsidRDefault="002B3EBF" w:rsidP="002B3EBF">
      <w:pPr>
        <w:jc w:val="both"/>
      </w:pPr>
      <w:r>
        <w:rPr>
          <w:highlight w:val="yellow"/>
        </w:rPr>
        <w:t>DESCRIBA</w:t>
      </w:r>
      <w:r w:rsidRPr="0063704A">
        <w:rPr>
          <w:highlight w:val="yellow"/>
        </w:rPr>
        <w:t xml:space="preserve"> CON DETALLE SUFICIENTE Y REFERENCIAS PERTINENTES </w:t>
      </w:r>
      <w:r>
        <w:rPr>
          <w:highlight w:val="yellow"/>
        </w:rPr>
        <w:t xml:space="preserve">CÓMO SE HA DADO CUMPLIMIENTO A ESTA </w:t>
      </w:r>
      <w:r w:rsidRPr="0063704A">
        <w:rPr>
          <w:highlight w:val="yellow"/>
        </w:rPr>
        <w:t>CONDICI</w:t>
      </w:r>
      <w:r>
        <w:rPr>
          <w:highlight w:val="yellow"/>
        </w:rPr>
        <w:t>Ó</w:t>
      </w:r>
      <w:r w:rsidRPr="0063704A">
        <w:rPr>
          <w:highlight w:val="yellow"/>
        </w:rPr>
        <w:t>N</w:t>
      </w:r>
    </w:p>
    <w:p w14:paraId="2E1048F5" w14:textId="77777777" w:rsidR="002B3EBF" w:rsidRDefault="002B3EBF" w:rsidP="002B3EBF">
      <w:pPr>
        <w:jc w:val="both"/>
      </w:pPr>
    </w:p>
    <w:p w14:paraId="0B3B9A7C" w14:textId="77777777" w:rsidR="0025232B" w:rsidRDefault="0025232B" w:rsidP="00C05A8B">
      <w:pPr>
        <w:ind w:left="708"/>
        <w:jc w:val="center"/>
        <w:rPr>
          <w:b/>
          <w:bCs/>
          <w:highlight w:val="yellow"/>
        </w:rPr>
      </w:pPr>
    </w:p>
    <w:p w14:paraId="526CBB32" w14:textId="77777777" w:rsidR="0025232B" w:rsidRDefault="0025232B" w:rsidP="00C05A8B">
      <w:pPr>
        <w:ind w:left="708"/>
        <w:jc w:val="center"/>
        <w:rPr>
          <w:b/>
          <w:bCs/>
          <w:highlight w:val="yellow"/>
        </w:rPr>
      </w:pPr>
    </w:p>
    <w:p w14:paraId="1E8FE876" w14:textId="08A238E1" w:rsidR="00C05A8B" w:rsidRPr="002152B6" w:rsidRDefault="00C05A8B" w:rsidP="00C05A8B">
      <w:pPr>
        <w:ind w:left="708"/>
        <w:jc w:val="center"/>
        <w:rPr>
          <w:b/>
          <w:bCs/>
        </w:rPr>
      </w:pPr>
      <w:r w:rsidRPr="002152B6">
        <w:rPr>
          <w:b/>
          <w:bCs/>
          <w:highlight w:val="yellow"/>
        </w:rPr>
        <w:t>Firma electrónica</w:t>
      </w:r>
    </w:p>
    <w:p w14:paraId="3F619B4E" w14:textId="77777777" w:rsidR="00C05A8B" w:rsidRDefault="00C05A8B" w:rsidP="006A617E">
      <w:pPr>
        <w:ind w:left="708"/>
      </w:pPr>
    </w:p>
    <w:sectPr w:rsidR="00C05A8B" w:rsidSect="000051D0">
      <w:headerReference w:type="default" r:id="rId7"/>
      <w:footerReference w:type="default" r:id="rId8"/>
      <w:pgSz w:w="11910" w:h="16840"/>
      <w:pgMar w:top="1440" w:right="1080" w:bottom="1440" w:left="1080" w:header="834" w:footer="11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EA89" w14:textId="77777777" w:rsidR="00CB7B31" w:rsidRDefault="00CB7B31" w:rsidP="00CB7B31">
      <w:pPr>
        <w:spacing w:after="0" w:line="240" w:lineRule="auto"/>
      </w:pPr>
      <w:r>
        <w:separator/>
      </w:r>
    </w:p>
  </w:endnote>
  <w:endnote w:type="continuationSeparator" w:id="0">
    <w:p w14:paraId="66111F61" w14:textId="77777777" w:rsidR="00CB7B31" w:rsidRDefault="00CB7B31" w:rsidP="00CB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5527090"/>
      <w:docPartObj>
        <w:docPartGallery w:val="Page Numbers (Bottom of Page)"/>
        <w:docPartUnique/>
      </w:docPartObj>
    </w:sdtPr>
    <w:sdtEndPr/>
    <w:sdtContent>
      <w:p w14:paraId="48D03802" w14:textId="75F5DEEA" w:rsidR="0025232B" w:rsidRDefault="0025232B" w:rsidP="00AB74AB">
        <w:pPr>
          <w:pStyle w:val="Piedepgina"/>
          <w:spacing w:before="240"/>
          <w:jc w:val="right"/>
        </w:pPr>
        <w:r>
          <w:fldChar w:fldCharType="begin"/>
        </w:r>
        <w:r>
          <w:instrText>PAGE   \* MERGEFORMAT</w:instrText>
        </w:r>
        <w:r>
          <w:fldChar w:fldCharType="separate"/>
        </w:r>
        <w:r>
          <w:t>2</w:t>
        </w:r>
        <w:r>
          <w:fldChar w:fldCharType="end"/>
        </w:r>
      </w:p>
    </w:sdtContent>
  </w:sdt>
  <w:p w14:paraId="35E257B3" w14:textId="77777777" w:rsidR="0025232B" w:rsidRDefault="002523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5D951" w14:textId="77777777" w:rsidR="00CB7B31" w:rsidRDefault="00CB7B31" w:rsidP="00CB7B31">
      <w:pPr>
        <w:spacing w:after="0" w:line="240" w:lineRule="auto"/>
      </w:pPr>
      <w:r>
        <w:separator/>
      </w:r>
    </w:p>
  </w:footnote>
  <w:footnote w:type="continuationSeparator" w:id="0">
    <w:p w14:paraId="7D1A3E30" w14:textId="77777777" w:rsidR="00CB7B31" w:rsidRDefault="00CB7B31" w:rsidP="00CB7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2BF83" w14:textId="732C6058" w:rsidR="0025232B" w:rsidRDefault="00CB7B31" w:rsidP="00CB7B31">
    <w:pPr>
      <w:pStyle w:val="Header10"/>
      <w:spacing w:before="0"/>
    </w:pPr>
    <w:r>
      <w:t xml:space="preserve"> </w:t>
    </w:r>
    <w:r>
      <w:rPr>
        <w:noProof/>
        <w:color w:val="1F497D"/>
        <w:shd w:val="clear" w:color="auto" w:fill="E6E6E6"/>
        <w:lang w:eastAsia="es-ES"/>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146"/>
      <w:gridCol w:w="3302"/>
    </w:tblGrid>
    <w:tr w:rsidR="0025232B" w14:paraId="1758B366" w14:textId="77777777" w:rsidTr="009A50EE">
      <w:tc>
        <w:tcPr>
          <w:tcW w:w="3246" w:type="dxa"/>
          <w:vAlign w:val="center"/>
        </w:tcPr>
        <w:p w14:paraId="39C294BA" w14:textId="4CDD9884" w:rsidR="0025232B" w:rsidRDefault="0025232B" w:rsidP="009A50EE">
          <w:pPr>
            <w:pStyle w:val="Header10"/>
            <w:spacing w:before="0"/>
            <w:jc w:val="center"/>
          </w:pPr>
          <w:bookmarkStart w:id="0" w:name="_Hlk171495304"/>
          <w:r>
            <w:rPr>
              <w:noProof/>
            </w:rPr>
            <w:drawing>
              <wp:inline distT="0" distB="0" distL="0" distR="0" wp14:anchorId="6C30E40E" wp14:editId="3CBFE99A">
                <wp:extent cx="1959868" cy="512065"/>
                <wp:effectExtent l="0" t="0" r="0" b="2540"/>
                <wp:docPr id="2009268538"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68538"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59868" cy="512065"/>
                        </a:xfrm>
                        <a:prstGeom prst="rect">
                          <a:avLst/>
                        </a:prstGeom>
                      </pic:spPr>
                    </pic:pic>
                  </a:graphicData>
                </a:graphic>
              </wp:inline>
            </w:drawing>
          </w:r>
        </w:p>
      </w:tc>
      <w:tc>
        <w:tcPr>
          <w:tcW w:w="3247" w:type="dxa"/>
          <w:vAlign w:val="center"/>
        </w:tcPr>
        <w:p w14:paraId="78D0711E" w14:textId="08790529" w:rsidR="0025232B" w:rsidRDefault="0025232B" w:rsidP="009A50EE">
          <w:pPr>
            <w:pStyle w:val="Header10"/>
            <w:spacing w:before="0"/>
            <w:jc w:val="center"/>
          </w:pPr>
          <w:r>
            <w:rPr>
              <w:noProof/>
            </w:rPr>
            <w:drawing>
              <wp:inline distT="0" distB="0" distL="0" distR="0" wp14:anchorId="19B31A3B" wp14:editId="149EDEA8">
                <wp:extent cx="1830705" cy="580390"/>
                <wp:effectExtent l="0" t="0" r="0" b="0"/>
                <wp:docPr id="108215161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51612"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830705" cy="580390"/>
                        </a:xfrm>
                        <a:prstGeom prst="rect">
                          <a:avLst/>
                        </a:prstGeom>
                      </pic:spPr>
                    </pic:pic>
                  </a:graphicData>
                </a:graphic>
              </wp:inline>
            </w:drawing>
          </w:r>
        </w:p>
      </w:tc>
      <w:tc>
        <w:tcPr>
          <w:tcW w:w="3247" w:type="dxa"/>
          <w:vAlign w:val="center"/>
        </w:tcPr>
        <w:p w14:paraId="6F908C06" w14:textId="4EFFDA38" w:rsidR="0025232B" w:rsidRDefault="0025232B" w:rsidP="009A50EE">
          <w:pPr>
            <w:pStyle w:val="Header10"/>
            <w:spacing w:before="0"/>
            <w:jc w:val="center"/>
          </w:pPr>
          <w:r>
            <w:rPr>
              <w:noProof/>
            </w:rPr>
            <w:drawing>
              <wp:inline distT="0" distB="0" distL="0" distR="0" wp14:anchorId="486380D1" wp14:editId="6DA4F358">
                <wp:extent cx="1960014" cy="594881"/>
                <wp:effectExtent l="0" t="0" r="0" b="0"/>
                <wp:docPr id="66284641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846412" name="Imagen 2" descr="Texto&#10;&#10;Descripción generada automáticamente"/>
                        <pic:cNvPicPr/>
                      </pic:nvPicPr>
                      <pic:blipFill rotWithShape="1">
                        <a:blip r:embed="rId3">
                          <a:extLst>
                            <a:ext uri="{28A0092B-C50C-407E-A947-70E740481C1C}">
                              <a14:useLocalDpi xmlns:a14="http://schemas.microsoft.com/office/drawing/2010/main" val="0"/>
                            </a:ext>
                          </a:extLst>
                        </a:blip>
                        <a:srcRect t="23913" b="22126"/>
                        <a:stretch/>
                      </pic:blipFill>
                      <pic:spPr bwMode="auto">
                        <a:xfrm>
                          <a:off x="0" y="0"/>
                          <a:ext cx="2043145" cy="620112"/>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tbl>
  <w:p w14:paraId="6AC8615D" w14:textId="6C185766" w:rsidR="00CB7B31" w:rsidRDefault="00CB7B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41519"/>
    <w:multiLevelType w:val="hybridMultilevel"/>
    <w:tmpl w:val="3F1A1FE4"/>
    <w:lvl w:ilvl="0" w:tplc="E7822ACC">
      <w:numFmt w:val="bullet"/>
      <w:lvlText w:val="-"/>
      <w:lvlJc w:val="left"/>
      <w:pPr>
        <w:ind w:left="106" w:hanging="96"/>
      </w:pPr>
      <w:rPr>
        <w:rFonts w:ascii="Calibri" w:eastAsia="Calibri" w:hAnsi="Calibri" w:cs="Calibri" w:hint="default"/>
        <w:b w:val="0"/>
        <w:bCs w:val="0"/>
        <w:i w:val="0"/>
        <w:iCs w:val="0"/>
        <w:spacing w:val="0"/>
        <w:w w:val="100"/>
        <w:sz w:val="18"/>
        <w:szCs w:val="18"/>
        <w:lang w:val="es-ES" w:eastAsia="en-US" w:bidi="ar-SA"/>
      </w:rPr>
    </w:lvl>
    <w:lvl w:ilvl="1" w:tplc="1C5086E6">
      <w:numFmt w:val="bullet"/>
      <w:lvlText w:val="•"/>
      <w:lvlJc w:val="left"/>
      <w:pPr>
        <w:ind w:left="721" w:hanging="96"/>
      </w:pPr>
      <w:rPr>
        <w:rFonts w:hint="default"/>
        <w:lang w:val="es-ES" w:eastAsia="en-US" w:bidi="ar-SA"/>
      </w:rPr>
    </w:lvl>
    <w:lvl w:ilvl="2" w:tplc="9BEE5FE0">
      <w:numFmt w:val="bullet"/>
      <w:lvlText w:val="•"/>
      <w:lvlJc w:val="left"/>
      <w:pPr>
        <w:ind w:left="1342" w:hanging="96"/>
      </w:pPr>
      <w:rPr>
        <w:rFonts w:hint="default"/>
        <w:lang w:val="es-ES" w:eastAsia="en-US" w:bidi="ar-SA"/>
      </w:rPr>
    </w:lvl>
    <w:lvl w:ilvl="3" w:tplc="84F8BD0E">
      <w:numFmt w:val="bullet"/>
      <w:lvlText w:val="•"/>
      <w:lvlJc w:val="left"/>
      <w:pPr>
        <w:ind w:left="1964" w:hanging="96"/>
      </w:pPr>
      <w:rPr>
        <w:rFonts w:hint="default"/>
        <w:lang w:val="es-ES" w:eastAsia="en-US" w:bidi="ar-SA"/>
      </w:rPr>
    </w:lvl>
    <w:lvl w:ilvl="4" w:tplc="697E938C">
      <w:numFmt w:val="bullet"/>
      <w:lvlText w:val="•"/>
      <w:lvlJc w:val="left"/>
      <w:pPr>
        <w:ind w:left="2585" w:hanging="96"/>
      </w:pPr>
      <w:rPr>
        <w:rFonts w:hint="default"/>
        <w:lang w:val="es-ES" w:eastAsia="en-US" w:bidi="ar-SA"/>
      </w:rPr>
    </w:lvl>
    <w:lvl w:ilvl="5" w:tplc="E8BC2F04">
      <w:numFmt w:val="bullet"/>
      <w:lvlText w:val="•"/>
      <w:lvlJc w:val="left"/>
      <w:pPr>
        <w:ind w:left="3207" w:hanging="96"/>
      </w:pPr>
      <w:rPr>
        <w:rFonts w:hint="default"/>
        <w:lang w:val="es-ES" w:eastAsia="en-US" w:bidi="ar-SA"/>
      </w:rPr>
    </w:lvl>
    <w:lvl w:ilvl="6" w:tplc="21004B14">
      <w:numFmt w:val="bullet"/>
      <w:lvlText w:val="•"/>
      <w:lvlJc w:val="left"/>
      <w:pPr>
        <w:ind w:left="3828" w:hanging="96"/>
      </w:pPr>
      <w:rPr>
        <w:rFonts w:hint="default"/>
        <w:lang w:val="es-ES" w:eastAsia="en-US" w:bidi="ar-SA"/>
      </w:rPr>
    </w:lvl>
    <w:lvl w:ilvl="7" w:tplc="CFE04ED6">
      <w:numFmt w:val="bullet"/>
      <w:lvlText w:val="•"/>
      <w:lvlJc w:val="left"/>
      <w:pPr>
        <w:ind w:left="4449" w:hanging="96"/>
      </w:pPr>
      <w:rPr>
        <w:rFonts w:hint="default"/>
        <w:lang w:val="es-ES" w:eastAsia="en-US" w:bidi="ar-SA"/>
      </w:rPr>
    </w:lvl>
    <w:lvl w:ilvl="8" w:tplc="E1807B3C">
      <w:numFmt w:val="bullet"/>
      <w:lvlText w:val="•"/>
      <w:lvlJc w:val="left"/>
      <w:pPr>
        <w:ind w:left="5071" w:hanging="96"/>
      </w:pPr>
      <w:rPr>
        <w:rFonts w:hint="default"/>
        <w:lang w:val="es-ES" w:eastAsia="en-US" w:bidi="ar-SA"/>
      </w:rPr>
    </w:lvl>
  </w:abstractNum>
  <w:abstractNum w:abstractNumId="1" w15:restartNumberingAfterBreak="0">
    <w:nsid w:val="0DC869E0"/>
    <w:multiLevelType w:val="hybridMultilevel"/>
    <w:tmpl w:val="2C448D8A"/>
    <w:lvl w:ilvl="0" w:tplc="AA66ACA8">
      <w:start w:val="4"/>
      <w:numFmt w:val="bullet"/>
      <w:lvlText w:val=""/>
      <w:lvlJc w:val="left"/>
      <w:pPr>
        <w:ind w:left="720" w:hanging="360"/>
      </w:pPr>
      <w:rPr>
        <w:rFonts w:ascii="Wingdings" w:eastAsiaTheme="minorHAnsi" w:hAnsi="Wingdings"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D33517"/>
    <w:multiLevelType w:val="hybridMultilevel"/>
    <w:tmpl w:val="1D5E23CC"/>
    <w:lvl w:ilvl="0" w:tplc="09069AAC">
      <w:start w:val="4"/>
      <w:numFmt w:val="bullet"/>
      <w:lvlText w:val="-"/>
      <w:lvlJc w:val="left"/>
      <w:pPr>
        <w:ind w:left="1070" w:hanging="360"/>
      </w:pPr>
      <w:rPr>
        <w:rFonts w:ascii="Calibri" w:eastAsiaTheme="minorHAnsi" w:hAnsi="Calibri" w:cs="Calibri" w:hint="default"/>
        <w:color w:val="auto"/>
      </w:rPr>
    </w:lvl>
    <w:lvl w:ilvl="1" w:tplc="0C0A0003" w:tentative="1">
      <w:start w:val="1"/>
      <w:numFmt w:val="bullet"/>
      <w:lvlText w:val="o"/>
      <w:lvlJc w:val="left"/>
      <w:pPr>
        <w:ind w:left="1790" w:hanging="360"/>
      </w:pPr>
      <w:rPr>
        <w:rFonts w:ascii="Courier New" w:hAnsi="Courier New" w:cs="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cs="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cs="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 w15:restartNumberingAfterBreak="0">
    <w:nsid w:val="395114A3"/>
    <w:multiLevelType w:val="hybridMultilevel"/>
    <w:tmpl w:val="D50CE234"/>
    <w:lvl w:ilvl="0" w:tplc="9D8ED1C4">
      <w:numFmt w:val="bullet"/>
      <w:lvlText w:val="-"/>
      <w:lvlJc w:val="left"/>
      <w:pPr>
        <w:ind w:left="106" w:hanging="219"/>
      </w:pPr>
      <w:rPr>
        <w:rFonts w:ascii="Bahnschrift" w:eastAsia="Bahnschrift" w:hAnsi="Bahnschrift" w:cs="Bahnschrift" w:hint="default"/>
        <w:b w:val="0"/>
        <w:bCs w:val="0"/>
        <w:i w:val="0"/>
        <w:iCs w:val="0"/>
        <w:spacing w:val="0"/>
        <w:w w:val="100"/>
        <w:sz w:val="18"/>
        <w:szCs w:val="18"/>
        <w:lang w:val="es-ES" w:eastAsia="en-US" w:bidi="ar-SA"/>
      </w:rPr>
    </w:lvl>
    <w:lvl w:ilvl="1" w:tplc="E922522A">
      <w:numFmt w:val="bullet"/>
      <w:lvlText w:val="•"/>
      <w:lvlJc w:val="left"/>
      <w:pPr>
        <w:ind w:left="721" w:hanging="219"/>
      </w:pPr>
      <w:rPr>
        <w:rFonts w:hint="default"/>
        <w:lang w:val="es-ES" w:eastAsia="en-US" w:bidi="ar-SA"/>
      </w:rPr>
    </w:lvl>
    <w:lvl w:ilvl="2" w:tplc="AF9CA5CC">
      <w:numFmt w:val="bullet"/>
      <w:lvlText w:val="•"/>
      <w:lvlJc w:val="left"/>
      <w:pPr>
        <w:ind w:left="1342" w:hanging="219"/>
      </w:pPr>
      <w:rPr>
        <w:rFonts w:hint="default"/>
        <w:lang w:val="es-ES" w:eastAsia="en-US" w:bidi="ar-SA"/>
      </w:rPr>
    </w:lvl>
    <w:lvl w:ilvl="3" w:tplc="FA7C176A">
      <w:numFmt w:val="bullet"/>
      <w:lvlText w:val="•"/>
      <w:lvlJc w:val="left"/>
      <w:pPr>
        <w:ind w:left="1964" w:hanging="219"/>
      </w:pPr>
      <w:rPr>
        <w:rFonts w:hint="default"/>
        <w:lang w:val="es-ES" w:eastAsia="en-US" w:bidi="ar-SA"/>
      </w:rPr>
    </w:lvl>
    <w:lvl w:ilvl="4" w:tplc="BA4CA438">
      <w:numFmt w:val="bullet"/>
      <w:lvlText w:val="•"/>
      <w:lvlJc w:val="left"/>
      <w:pPr>
        <w:ind w:left="2585" w:hanging="219"/>
      </w:pPr>
      <w:rPr>
        <w:rFonts w:hint="default"/>
        <w:lang w:val="es-ES" w:eastAsia="en-US" w:bidi="ar-SA"/>
      </w:rPr>
    </w:lvl>
    <w:lvl w:ilvl="5" w:tplc="A8E62924">
      <w:numFmt w:val="bullet"/>
      <w:lvlText w:val="•"/>
      <w:lvlJc w:val="left"/>
      <w:pPr>
        <w:ind w:left="3207" w:hanging="219"/>
      </w:pPr>
      <w:rPr>
        <w:rFonts w:hint="default"/>
        <w:lang w:val="es-ES" w:eastAsia="en-US" w:bidi="ar-SA"/>
      </w:rPr>
    </w:lvl>
    <w:lvl w:ilvl="6" w:tplc="CDFE11D0">
      <w:numFmt w:val="bullet"/>
      <w:lvlText w:val="•"/>
      <w:lvlJc w:val="left"/>
      <w:pPr>
        <w:ind w:left="3828" w:hanging="219"/>
      </w:pPr>
      <w:rPr>
        <w:rFonts w:hint="default"/>
        <w:lang w:val="es-ES" w:eastAsia="en-US" w:bidi="ar-SA"/>
      </w:rPr>
    </w:lvl>
    <w:lvl w:ilvl="7" w:tplc="CF7C50C6">
      <w:numFmt w:val="bullet"/>
      <w:lvlText w:val="•"/>
      <w:lvlJc w:val="left"/>
      <w:pPr>
        <w:ind w:left="4449" w:hanging="219"/>
      </w:pPr>
      <w:rPr>
        <w:rFonts w:hint="default"/>
        <w:lang w:val="es-ES" w:eastAsia="en-US" w:bidi="ar-SA"/>
      </w:rPr>
    </w:lvl>
    <w:lvl w:ilvl="8" w:tplc="38B002E6">
      <w:numFmt w:val="bullet"/>
      <w:lvlText w:val="•"/>
      <w:lvlJc w:val="left"/>
      <w:pPr>
        <w:ind w:left="5071" w:hanging="219"/>
      </w:pPr>
      <w:rPr>
        <w:rFonts w:hint="default"/>
        <w:lang w:val="es-ES" w:eastAsia="en-US" w:bidi="ar-SA"/>
      </w:rPr>
    </w:lvl>
  </w:abstractNum>
  <w:abstractNum w:abstractNumId="4" w15:restartNumberingAfterBreak="0">
    <w:nsid w:val="504943D8"/>
    <w:multiLevelType w:val="hybridMultilevel"/>
    <w:tmpl w:val="FB2C6FA4"/>
    <w:lvl w:ilvl="0" w:tplc="71487BC6">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D032AEAE">
      <w:numFmt w:val="bullet"/>
      <w:lvlText w:val="•"/>
      <w:lvlJc w:val="left"/>
      <w:pPr>
        <w:ind w:left="343" w:hanging="192"/>
      </w:pPr>
      <w:rPr>
        <w:rFonts w:hint="default"/>
        <w:lang w:val="es-ES" w:eastAsia="en-US" w:bidi="ar-SA"/>
      </w:rPr>
    </w:lvl>
    <w:lvl w:ilvl="2" w:tplc="BC70B0DC">
      <w:numFmt w:val="bullet"/>
      <w:lvlText w:val="•"/>
      <w:lvlJc w:val="left"/>
      <w:pPr>
        <w:ind w:left="587" w:hanging="192"/>
      </w:pPr>
      <w:rPr>
        <w:rFonts w:hint="default"/>
        <w:lang w:val="es-ES" w:eastAsia="en-US" w:bidi="ar-SA"/>
      </w:rPr>
    </w:lvl>
    <w:lvl w:ilvl="3" w:tplc="74A8E020">
      <w:numFmt w:val="bullet"/>
      <w:lvlText w:val="•"/>
      <w:lvlJc w:val="left"/>
      <w:pPr>
        <w:ind w:left="831" w:hanging="192"/>
      </w:pPr>
      <w:rPr>
        <w:rFonts w:hint="default"/>
        <w:lang w:val="es-ES" w:eastAsia="en-US" w:bidi="ar-SA"/>
      </w:rPr>
    </w:lvl>
    <w:lvl w:ilvl="4" w:tplc="EBB87A1A">
      <w:numFmt w:val="bullet"/>
      <w:lvlText w:val="•"/>
      <w:lvlJc w:val="left"/>
      <w:pPr>
        <w:ind w:left="1075" w:hanging="192"/>
      </w:pPr>
      <w:rPr>
        <w:rFonts w:hint="default"/>
        <w:lang w:val="es-ES" w:eastAsia="en-US" w:bidi="ar-SA"/>
      </w:rPr>
    </w:lvl>
    <w:lvl w:ilvl="5" w:tplc="BB008922">
      <w:numFmt w:val="bullet"/>
      <w:lvlText w:val="•"/>
      <w:lvlJc w:val="left"/>
      <w:pPr>
        <w:ind w:left="1319" w:hanging="192"/>
      </w:pPr>
      <w:rPr>
        <w:rFonts w:hint="default"/>
        <w:lang w:val="es-ES" w:eastAsia="en-US" w:bidi="ar-SA"/>
      </w:rPr>
    </w:lvl>
    <w:lvl w:ilvl="6" w:tplc="7AA20A3C">
      <w:numFmt w:val="bullet"/>
      <w:lvlText w:val="•"/>
      <w:lvlJc w:val="left"/>
      <w:pPr>
        <w:ind w:left="1563" w:hanging="192"/>
      </w:pPr>
      <w:rPr>
        <w:rFonts w:hint="default"/>
        <w:lang w:val="es-ES" w:eastAsia="en-US" w:bidi="ar-SA"/>
      </w:rPr>
    </w:lvl>
    <w:lvl w:ilvl="7" w:tplc="ED9C0450">
      <w:numFmt w:val="bullet"/>
      <w:lvlText w:val="•"/>
      <w:lvlJc w:val="left"/>
      <w:pPr>
        <w:ind w:left="1807" w:hanging="192"/>
      </w:pPr>
      <w:rPr>
        <w:rFonts w:hint="default"/>
        <w:lang w:val="es-ES" w:eastAsia="en-US" w:bidi="ar-SA"/>
      </w:rPr>
    </w:lvl>
    <w:lvl w:ilvl="8" w:tplc="BF584B6A">
      <w:numFmt w:val="bullet"/>
      <w:lvlText w:val="•"/>
      <w:lvlJc w:val="left"/>
      <w:pPr>
        <w:ind w:left="2051" w:hanging="192"/>
      </w:pPr>
      <w:rPr>
        <w:rFonts w:hint="default"/>
        <w:lang w:val="es-ES" w:eastAsia="en-US" w:bidi="ar-SA"/>
      </w:rPr>
    </w:lvl>
  </w:abstractNum>
  <w:abstractNum w:abstractNumId="5" w15:restartNumberingAfterBreak="0">
    <w:nsid w:val="57CF712F"/>
    <w:multiLevelType w:val="hybridMultilevel"/>
    <w:tmpl w:val="C6A417BC"/>
    <w:lvl w:ilvl="0" w:tplc="004EF940">
      <w:start w:val="1"/>
      <w:numFmt w:val="lowerRoman"/>
      <w:lvlText w:val="(%1)"/>
      <w:lvlJc w:val="left"/>
      <w:pPr>
        <w:ind w:left="107" w:hanging="274"/>
        <w:jc w:val="left"/>
      </w:pPr>
      <w:rPr>
        <w:rFonts w:ascii="Calibri" w:eastAsia="Calibri" w:hAnsi="Calibri" w:cs="Calibri" w:hint="default"/>
        <w:b w:val="0"/>
        <w:bCs w:val="0"/>
        <w:i w:val="0"/>
        <w:iCs w:val="0"/>
        <w:spacing w:val="-1"/>
        <w:w w:val="100"/>
        <w:sz w:val="18"/>
        <w:szCs w:val="18"/>
        <w:lang w:val="es-ES" w:eastAsia="en-US" w:bidi="ar-SA"/>
      </w:rPr>
    </w:lvl>
    <w:lvl w:ilvl="1" w:tplc="C036874C">
      <w:numFmt w:val="bullet"/>
      <w:lvlText w:val="•"/>
      <w:lvlJc w:val="left"/>
      <w:pPr>
        <w:ind w:left="343" w:hanging="274"/>
      </w:pPr>
      <w:rPr>
        <w:rFonts w:hint="default"/>
        <w:lang w:val="es-ES" w:eastAsia="en-US" w:bidi="ar-SA"/>
      </w:rPr>
    </w:lvl>
    <w:lvl w:ilvl="2" w:tplc="E020B520">
      <w:numFmt w:val="bullet"/>
      <w:lvlText w:val="•"/>
      <w:lvlJc w:val="left"/>
      <w:pPr>
        <w:ind w:left="587" w:hanging="274"/>
      </w:pPr>
      <w:rPr>
        <w:rFonts w:hint="default"/>
        <w:lang w:val="es-ES" w:eastAsia="en-US" w:bidi="ar-SA"/>
      </w:rPr>
    </w:lvl>
    <w:lvl w:ilvl="3" w:tplc="091A8934">
      <w:numFmt w:val="bullet"/>
      <w:lvlText w:val="•"/>
      <w:lvlJc w:val="left"/>
      <w:pPr>
        <w:ind w:left="831" w:hanging="274"/>
      </w:pPr>
      <w:rPr>
        <w:rFonts w:hint="default"/>
        <w:lang w:val="es-ES" w:eastAsia="en-US" w:bidi="ar-SA"/>
      </w:rPr>
    </w:lvl>
    <w:lvl w:ilvl="4" w:tplc="0D862DE8">
      <w:numFmt w:val="bullet"/>
      <w:lvlText w:val="•"/>
      <w:lvlJc w:val="left"/>
      <w:pPr>
        <w:ind w:left="1075" w:hanging="274"/>
      </w:pPr>
      <w:rPr>
        <w:rFonts w:hint="default"/>
        <w:lang w:val="es-ES" w:eastAsia="en-US" w:bidi="ar-SA"/>
      </w:rPr>
    </w:lvl>
    <w:lvl w:ilvl="5" w:tplc="62E20078">
      <w:numFmt w:val="bullet"/>
      <w:lvlText w:val="•"/>
      <w:lvlJc w:val="left"/>
      <w:pPr>
        <w:ind w:left="1319" w:hanging="274"/>
      </w:pPr>
      <w:rPr>
        <w:rFonts w:hint="default"/>
        <w:lang w:val="es-ES" w:eastAsia="en-US" w:bidi="ar-SA"/>
      </w:rPr>
    </w:lvl>
    <w:lvl w:ilvl="6" w:tplc="75C8D43C">
      <w:numFmt w:val="bullet"/>
      <w:lvlText w:val="•"/>
      <w:lvlJc w:val="left"/>
      <w:pPr>
        <w:ind w:left="1563" w:hanging="274"/>
      </w:pPr>
      <w:rPr>
        <w:rFonts w:hint="default"/>
        <w:lang w:val="es-ES" w:eastAsia="en-US" w:bidi="ar-SA"/>
      </w:rPr>
    </w:lvl>
    <w:lvl w:ilvl="7" w:tplc="84148236">
      <w:numFmt w:val="bullet"/>
      <w:lvlText w:val="•"/>
      <w:lvlJc w:val="left"/>
      <w:pPr>
        <w:ind w:left="1807" w:hanging="274"/>
      </w:pPr>
      <w:rPr>
        <w:rFonts w:hint="default"/>
        <w:lang w:val="es-ES" w:eastAsia="en-US" w:bidi="ar-SA"/>
      </w:rPr>
    </w:lvl>
    <w:lvl w:ilvl="8" w:tplc="F5B60312">
      <w:numFmt w:val="bullet"/>
      <w:lvlText w:val="•"/>
      <w:lvlJc w:val="left"/>
      <w:pPr>
        <w:ind w:left="2051" w:hanging="274"/>
      </w:pPr>
      <w:rPr>
        <w:rFonts w:hint="default"/>
        <w:lang w:val="es-ES" w:eastAsia="en-US" w:bidi="ar-SA"/>
      </w:rPr>
    </w:lvl>
  </w:abstractNum>
  <w:abstractNum w:abstractNumId="6" w15:restartNumberingAfterBreak="0">
    <w:nsid w:val="5ACC0D7B"/>
    <w:multiLevelType w:val="hybridMultilevel"/>
    <w:tmpl w:val="B9A47866"/>
    <w:lvl w:ilvl="0" w:tplc="7B1C6C38">
      <w:start w:val="1"/>
      <w:numFmt w:val="lowerRoman"/>
      <w:lvlText w:val="(%1)"/>
      <w:lvlJc w:val="left"/>
      <w:pPr>
        <w:ind w:left="107" w:hanging="192"/>
        <w:jc w:val="left"/>
      </w:pPr>
      <w:rPr>
        <w:rFonts w:ascii="Calibri" w:eastAsia="Calibri" w:hAnsi="Calibri" w:cs="Calibri" w:hint="default"/>
        <w:b w:val="0"/>
        <w:bCs w:val="0"/>
        <w:i w:val="0"/>
        <w:iCs w:val="0"/>
        <w:spacing w:val="-1"/>
        <w:w w:val="100"/>
        <w:sz w:val="18"/>
        <w:szCs w:val="18"/>
        <w:lang w:val="es-ES" w:eastAsia="en-US" w:bidi="ar-SA"/>
      </w:rPr>
    </w:lvl>
    <w:lvl w:ilvl="1" w:tplc="0B9A5616">
      <w:numFmt w:val="bullet"/>
      <w:lvlText w:val="•"/>
      <w:lvlJc w:val="left"/>
      <w:pPr>
        <w:ind w:left="343" w:hanging="192"/>
      </w:pPr>
      <w:rPr>
        <w:rFonts w:hint="default"/>
        <w:lang w:val="es-ES" w:eastAsia="en-US" w:bidi="ar-SA"/>
      </w:rPr>
    </w:lvl>
    <w:lvl w:ilvl="2" w:tplc="FB56D5CC">
      <w:numFmt w:val="bullet"/>
      <w:lvlText w:val="•"/>
      <w:lvlJc w:val="left"/>
      <w:pPr>
        <w:ind w:left="587" w:hanging="192"/>
      </w:pPr>
      <w:rPr>
        <w:rFonts w:hint="default"/>
        <w:lang w:val="es-ES" w:eastAsia="en-US" w:bidi="ar-SA"/>
      </w:rPr>
    </w:lvl>
    <w:lvl w:ilvl="3" w:tplc="7C508218">
      <w:numFmt w:val="bullet"/>
      <w:lvlText w:val="•"/>
      <w:lvlJc w:val="left"/>
      <w:pPr>
        <w:ind w:left="831" w:hanging="192"/>
      </w:pPr>
      <w:rPr>
        <w:rFonts w:hint="default"/>
        <w:lang w:val="es-ES" w:eastAsia="en-US" w:bidi="ar-SA"/>
      </w:rPr>
    </w:lvl>
    <w:lvl w:ilvl="4" w:tplc="64849ACA">
      <w:numFmt w:val="bullet"/>
      <w:lvlText w:val="•"/>
      <w:lvlJc w:val="left"/>
      <w:pPr>
        <w:ind w:left="1075" w:hanging="192"/>
      </w:pPr>
      <w:rPr>
        <w:rFonts w:hint="default"/>
        <w:lang w:val="es-ES" w:eastAsia="en-US" w:bidi="ar-SA"/>
      </w:rPr>
    </w:lvl>
    <w:lvl w:ilvl="5" w:tplc="E7CE7A46">
      <w:numFmt w:val="bullet"/>
      <w:lvlText w:val="•"/>
      <w:lvlJc w:val="left"/>
      <w:pPr>
        <w:ind w:left="1319" w:hanging="192"/>
      </w:pPr>
      <w:rPr>
        <w:rFonts w:hint="default"/>
        <w:lang w:val="es-ES" w:eastAsia="en-US" w:bidi="ar-SA"/>
      </w:rPr>
    </w:lvl>
    <w:lvl w:ilvl="6" w:tplc="6B586886">
      <w:numFmt w:val="bullet"/>
      <w:lvlText w:val="•"/>
      <w:lvlJc w:val="left"/>
      <w:pPr>
        <w:ind w:left="1563" w:hanging="192"/>
      </w:pPr>
      <w:rPr>
        <w:rFonts w:hint="default"/>
        <w:lang w:val="es-ES" w:eastAsia="en-US" w:bidi="ar-SA"/>
      </w:rPr>
    </w:lvl>
    <w:lvl w:ilvl="7" w:tplc="44362C9C">
      <w:numFmt w:val="bullet"/>
      <w:lvlText w:val="•"/>
      <w:lvlJc w:val="left"/>
      <w:pPr>
        <w:ind w:left="1807" w:hanging="192"/>
      </w:pPr>
      <w:rPr>
        <w:rFonts w:hint="default"/>
        <w:lang w:val="es-ES" w:eastAsia="en-US" w:bidi="ar-SA"/>
      </w:rPr>
    </w:lvl>
    <w:lvl w:ilvl="8" w:tplc="E1727BE0">
      <w:numFmt w:val="bullet"/>
      <w:lvlText w:val="•"/>
      <w:lvlJc w:val="left"/>
      <w:pPr>
        <w:ind w:left="2051" w:hanging="192"/>
      </w:pPr>
      <w:rPr>
        <w:rFonts w:hint="default"/>
        <w:lang w:val="es-ES" w:eastAsia="en-US" w:bidi="ar-SA"/>
      </w:rPr>
    </w:lvl>
  </w:abstractNum>
  <w:num w:numId="1" w16cid:durableId="623660714">
    <w:abstractNumId w:val="1"/>
  </w:num>
  <w:num w:numId="2" w16cid:durableId="572854636">
    <w:abstractNumId w:val="2"/>
  </w:num>
  <w:num w:numId="3" w16cid:durableId="922228035">
    <w:abstractNumId w:val="3"/>
  </w:num>
  <w:num w:numId="4" w16cid:durableId="605770214">
    <w:abstractNumId w:val="4"/>
  </w:num>
  <w:num w:numId="5" w16cid:durableId="973414154">
    <w:abstractNumId w:val="6"/>
  </w:num>
  <w:num w:numId="6" w16cid:durableId="1833250278">
    <w:abstractNumId w:val="5"/>
  </w:num>
  <w:num w:numId="7" w16cid:durableId="196615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DE"/>
    <w:rsid w:val="000051D0"/>
    <w:rsid w:val="00064045"/>
    <w:rsid w:val="00065287"/>
    <w:rsid w:val="001378A5"/>
    <w:rsid w:val="001A4255"/>
    <w:rsid w:val="00205935"/>
    <w:rsid w:val="002415C9"/>
    <w:rsid w:val="0025232B"/>
    <w:rsid w:val="002B3EBF"/>
    <w:rsid w:val="002C365C"/>
    <w:rsid w:val="0038724F"/>
    <w:rsid w:val="004A51E7"/>
    <w:rsid w:val="004E6C90"/>
    <w:rsid w:val="005D23A6"/>
    <w:rsid w:val="006A591C"/>
    <w:rsid w:val="006A617E"/>
    <w:rsid w:val="006B462D"/>
    <w:rsid w:val="00731677"/>
    <w:rsid w:val="00740E9B"/>
    <w:rsid w:val="007670C7"/>
    <w:rsid w:val="007D5953"/>
    <w:rsid w:val="0087168A"/>
    <w:rsid w:val="008724CB"/>
    <w:rsid w:val="00991C2B"/>
    <w:rsid w:val="009A50EE"/>
    <w:rsid w:val="00AA7984"/>
    <w:rsid w:val="00AB74AB"/>
    <w:rsid w:val="00BB135B"/>
    <w:rsid w:val="00BB1816"/>
    <w:rsid w:val="00BF3916"/>
    <w:rsid w:val="00C05A8B"/>
    <w:rsid w:val="00C309D4"/>
    <w:rsid w:val="00C628BD"/>
    <w:rsid w:val="00C8282E"/>
    <w:rsid w:val="00CA4A93"/>
    <w:rsid w:val="00CB7B31"/>
    <w:rsid w:val="00CC2B3C"/>
    <w:rsid w:val="00CC64DE"/>
    <w:rsid w:val="00CE326A"/>
    <w:rsid w:val="00D0748E"/>
    <w:rsid w:val="00D41823"/>
    <w:rsid w:val="00D457D6"/>
    <w:rsid w:val="00D5302A"/>
    <w:rsid w:val="00D64FEE"/>
    <w:rsid w:val="00E60286"/>
    <w:rsid w:val="00EF01CF"/>
    <w:rsid w:val="00F01B8F"/>
    <w:rsid w:val="00FA37A6"/>
    <w:rsid w:val="00FD1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7AFF24"/>
  <w15:chartTrackingRefBased/>
  <w15:docId w15:val="{4F5D3D09-18B6-437B-A5D0-2951EE5E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15C9"/>
    <w:pPr>
      <w:ind w:left="720"/>
      <w:contextualSpacing/>
    </w:pPr>
  </w:style>
  <w:style w:type="character" w:styleId="Hipervnculo">
    <w:name w:val="Hyperlink"/>
    <w:basedOn w:val="Fuentedeprrafopredeter"/>
    <w:uiPriority w:val="99"/>
    <w:unhideWhenUsed/>
    <w:rsid w:val="00C8282E"/>
    <w:rPr>
      <w:color w:val="0000FF"/>
      <w:u w:val="single"/>
    </w:rPr>
  </w:style>
  <w:style w:type="table" w:customStyle="1" w:styleId="TableNormal">
    <w:name w:val="Table Normal"/>
    <w:uiPriority w:val="2"/>
    <w:semiHidden/>
    <w:unhideWhenUsed/>
    <w:qFormat/>
    <w:rsid w:val="002059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05935"/>
    <w:pPr>
      <w:widowControl w:val="0"/>
      <w:autoSpaceDE w:val="0"/>
      <w:autoSpaceDN w:val="0"/>
      <w:spacing w:after="0" w:line="240" w:lineRule="auto"/>
    </w:pPr>
    <w:rPr>
      <w:rFonts w:ascii="Calibri" w:eastAsia="Calibri" w:hAnsi="Calibri" w:cs="Calibri"/>
      <w:sz w:val="24"/>
      <w:szCs w:val="24"/>
    </w:rPr>
  </w:style>
  <w:style w:type="character" w:customStyle="1" w:styleId="TextoindependienteCar">
    <w:name w:val="Texto independiente Car"/>
    <w:basedOn w:val="Fuentedeprrafopredeter"/>
    <w:link w:val="Textoindependiente"/>
    <w:uiPriority w:val="1"/>
    <w:rsid w:val="00205935"/>
    <w:rPr>
      <w:rFonts w:ascii="Calibri" w:eastAsia="Calibri" w:hAnsi="Calibri" w:cs="Calibri"/>
      <w:sz w:val="24"/>
      <w:szCs w:val="24"/>
    </w:rPr>
  </w:style>
  <w:style w:type="paragraph" w:customStyle="1" w:styleId="TableParagraph">
    <w:name w:val="Table Paragraph"/>
    <w:basedOn w:val="Normal"/>
    <w:uiPriority w:val="1"/>
    <w:qFormat/>
    <w:rsid w:val="00205935"/>
    <w:pPr>
      <w:widowControl w:val="0"/>
      <w:autoSpaceDE w:val="0"/>
      <w:autoSpaceDN w:val="0"/>
      <w:spacing w:after="0" w:line="240" w:lineRule="auto"/>
    </w:pPr>
    <w:rPr>
      <w:rFonts w:ascii="Calibri" w:eastAsia="Calibri" w:hAnsi="Calibri" w:cs="Calibri"/>
    </w:rPr>
  </w:style>
  <w:style w:type="character" w:styleId="Mencinsinresolver">
    <w:name w:val="Unresolved Mention"/>
    <w:basedOn w:val="Fuentedeprrafopredeter"/>
    <w:uiPriority w:val="99"/>
    <w:semiHidden/>
    <w:unhideWhenUsed/>
    <w:rsid w:val="00064045"/>
    <w:rPr>
      <w:color w:val="605E5C"/>
      <w:shd w:val="clear" w:color="auto" w:fill="E1DFDD"/>
    </w:rPr>
  </w:style>
  <w:style w:type="table" w:styleId="Tablaconcuadrcula">
    <w:name w:val="Table Grid"/>
    <w:basedOn w:val="Tablanormal"/>
    <w:uiPriority w:val="39"/>
    <w:rsid w:val="006B4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B462D"/>
    <w:rPr>
      <w:color w:val="954F72" w:themeColor="followedHyperlink"/>
      <w:u w:val="single"/>
    </w:rPr>
  </w:style>
  <w:style w:type="paragraph" w:styleId="Encabezado">
    <w:name w:val="header"/>
    <w:basedOn w:val="Normal"/>
    <w:link w:val="EncabezadoCar"/>
    <w:uiPriority w:val="99"/>
    <w:unhideWhenUsed/>
    <w:rsid w:val="00CB7B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7B31"/>
  </w:style>
  <w:style w:type="paragraph" w:styleId="Piedepgina">
    <w:name w:val="footer"/>
    <w:basedOn w:val="Normal"/>
    <w:link w:val="PiedepginaCar"/>
    <w:uiPriority w:val="99"/>
    <w:unhideWhenUsed/>
    <w:rsid w:val="00CB7B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7B31"/>
  </w:style>
  <w:style w:type="character" w:customStyle="1" w:styleId="HeaderChar">
    <w:name w:val="Header Char"/>
    <w:basedOn w:val="Fuentedeprrafopredeter"/>
    <w:link w:val="Header10"/>
    <w:uiPriority w:val="99"/>
    <w:locked/>
    <w:rsid w:val="00CB7B31"/>
    <w:rPr>
      <w:rFonts w:ascii="Calibri" w:hAnsi="Calibri" w:cs="Arial"/>
      <w:szCs w:val="19"/>
    </w:rPr>
  </w:style>
  <w:style w:type="paragraph" w:customStyle="1" w:styleId="Header10">
    <w:name w:val="Header10"/>
    <w:basedOn w:val="Normal"/>
    <w:link w:val="HeaderChar"/>
    <w:uiPriority w:val="99"/>
    <w:rsid w:val="00CB7B31"/>
    <w:pPr>
      <w:tabs>
        <w:tab w:val="center" w:pos="4252"/>
        <w:tab w:val="right" w:pos="8504"/>
      </w:tabs>
      <w:spacing w:before="60" w:after="60" w:line="240" w:lineRule="auto"/>
      <w:jc w:val="both"/>
    </w:pPr>
    <w:rPr>
      <w:rFonts w:ascii="Calibri" w:hAnsi="Calibri" w:cs="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594">
      <w:bodyDiv w:val="1"/>
      <w:marLeft w:val="0"/>
      <w:marRight w:val="0"/>
      <w:marTop w:val="0"/>
      <w:marBottom w:val="0"/>
      <w:divBdr>
        <w:top w:val="none" w:sz="0" w:space="0" w:color="auto"/>
        <w:left w:val="none" w:sz="0" w:space="0" w:color="auto"/>
        <w:bottom w:val="none" w:sz="0" w:space="0" w:color="auto"/>
        <w:right w:val="none" w:sz="0" w:space="0" w:color="auto"/>
      </w:divBdr>
    </w:div>
    <w:div w:id="839613075">
      <w:bodyDiv w:val="1"/>
      <w:marLeft w:val="0"/>
      <w:marRight w:val="0"/>
      <w:marTop w:val="0"/>
      <w:marBottom w:val="0"/>
      <w:divBdr>
        <w:top w:val="none" w:sz="0" w:space="0" w:color="auto"/>
        <w:left w:val="none" w:sz="0" w:space="0" w:color="auto"/>
        <w:bottom w:val="none" w:sz="0" w:space="0" w:color="auto"/>
        <w:right w:val="none" w:sz="0" w:space="0" w:color="auto"/>
      </w:divBdr>
    </w:div>
    <w:div w:id="1130981532">
      <w:bodyDiv w:val="1"/>
      <w:marLeft w:val="0"/>
      <w:marRight w:val="0"/>
      <w:marTop w:val="0"/>
      <w:marBottom w:val="0"/>
      <w:divBdr>
        <w:top w:val="none" w:sz="0" w:space="0" w:color="auto"/>
        <w:left w:val="none" w:sz="0" w:space="0" w:color="auto"/>
        <w:bottom w:val="none" w:sz="0" w:space="0" w:color="auto"/>
        <w:right w:val="none" w:sz="0" w:space="0" w:color="auto"/>
      </w:divBdr>
    </w:div>
    <w:div w:id="1239749521">
      <w:bodyDiv w:val="1"/>
      <w:marLeft w:val="0"/>
      <w:marRight w:val="0"/>
      <w:marTop w:val="0"/>
      <w:marBottom w:val="0"/>
      <w:divBdr>
        <w:top w:val="none" w:sz="0" w:space="0" w:color="auto"/>
        <w:left w:val="none" w:sz="0" w:space="0" w:color="auto"/>
        <w:bottom w:val="none" w:sz="0" w:space="0" w:color="auto"/>
        <w:right w:val="none" w:sz="0" w:space="0" w:color="auto"/>
      </w:divBdr>
    </w:div>
    <w:div w:id="15648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0144EA35FD3A45998C9FAC09ADA60D" ma:contentTypeVersion="1" ma:contentTypeDescription="Crear nuevo documento." ma:contentTypeScope="" ma:versionID="f46a06df43d2cc80500790d930d6237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27A0BF4-CFC7-4BD4-A628-78AAC3BB2CD2}"/>
</file>

<file path=customXml/itemProps2.xml><?xml version="1.0" encoding="utf-8"?>
<ds:datastoreItem xmlns:ds="http://schemas.openxmlformats.org/officeDocument/2006/customXml" ds:itemID="{F09E1FC8-14EF-4C0B-A773-C31DE2C1A412}"/>
</file>

<file path=customXml/itemProps3.xml><?xml version="1.0" encoding="utf-8"?>
<ds:datastoreItem xmlns:ds="http://schemas.openxmlformats.org/officeDocument/2006/customXml" ds:itemID="{23856885-5EEA-4F0A-B7AB-0E916F1DFB2D}"/>
</file>

<file path=docProps/app.xml><?xml version="1.0" encoding="utf-8"?>
<Properties xmlns="http://schemas.openxmlformats.org/officeDocument/2006/extended-properties" xmlns:vt="http://schemas.openxmlformats.org/officeDocument/2006/docPropsVTypes">
  <Template>Normal.dotm</Template>
  <TotalTime>1</TotalTime>
  <Pages>3</Pages>
  <Words>868</Words>
  <Characters>4775</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López Sánchez, Francisco Javier</dc:creator>
  <cp:keywords/>
  <dc:description/>
  <cp:lastModifiedBy>Fernandez Ecker, Antonio</cp:lastModifiedBy>
  <cp:revision>2</cp:revision>
  <dcterms:created xsi:type="dcterms:W3CDTF">2025-02-25T14:40:00Z</dcterms:created>
  <dcterms:modified xsi:type="dcterms:W3CDTF">2025-02-25T14:40:00Z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0x010100F30144EA35FD3A45998C9FAC09ADA60D</vt:lpwstr>
  </property>
</Properties>
</file>